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202A" w14:textId="7755AC4E" w:rsidR="00A77B3E" w:rsidRPr="007D4280" w:rsidRDefault="00A77B3E" w:rsidP="003873F7">
      <w:pPr>
        <w:spacing w:after="120" w:line="300" w:lineRule="auto"/>
        <w:rPr>
          <w:rFonts w:ascii="Arial" w:eastAsia="Arial" w:hAnsi="Arial" w:cs="Arial"/>
          <w:sz w:val="18"/>
        </w:rPr>
      </w:pPr>
    </w:p>
    <w:p w14:paraId="7292A5ED" w14:textId="77777777" w:rsidR="00A77B3E" w:rsidRPr="007D4280" w:rsidRDefault="00A77B3E" w:rsidP="00E72EC2">
      <w:pPr>
        <w:spacing w:after="120" w:line="300" w:lineRule="auto"/>
        <w:rPr>
          <w:rFonts w:ascii="Arial" w:eastAsia="Arial" w:hAnsi="Arial" w:cs="Arial"/>
          <w:sz w:val="18"/>
        </w:rPr>
      </w:pPr>
    </w:p>
    <w:p w14:paraId="7EF4578D" w14:textId="77777777" w:rsidR="00A77B3E" w:rsidRPr="007D4280" w:rsidRDefault="00A77B3E" w:rsidP="00E72EC2">
      <w:pPr>
        <w:spacing w:after="120" w:line="300" w:lineRule="auto"/>
        <w:rPr>
          <w:rFonts w:ascii="Arial" w:eastAsia="Arial" w:hAnsi="Arial" w:cs="Arial"/>
          <w:sz w:val="18"/>
        </w:rPr>
      </w:pPr>
    </w:p>
    <w:p w14:paraId="7ECFB022" w14:textId="77777777" w:rsidR="00A77B3E" w:rsidRPr="007D4280" w:rsidRDefault="00A77B3E" w:rsidP="00E72EC2">
      <w:pPr>
        <w:spacing w:after="120" w:line="300" w:lineRule="auto"/>
        <w:rPr>
          <w:rFonts w:ascii="Arial" w:eastAsia="Arial" w:hAnsi="Arial" w:cs="Arial"/>
          <w:sz w:val="18"/>
        </w:rPr>
      </w:pPr>
    </w:p>
    <w:p w14:paraId="00A5088F" w14:textId="77777777" w:rsidR="00A77B3E" w:rsidRPr="007D4280" w:rsidRDefault="00A77B3E" w:rsidP="00E72EC2">
      <w:pPr>
        <w:spacing w:after="120" w:line="300" w:lineRule="auto"/>
        <w:rPr>
          <w:rFonts w:ascii="Arial" w:eastAsia="Arial" w:hAnsi="Arial" w:cs="Arial"/>
          <w:sz w:val="18"/>
        </w:rPr>
      </w:pPr>
    </w:p>
    <w:p w14:paraId="56460155" w14:textId="77777777" w:rsidR="00A77B3E" w:rsidRPr="007D4280" w:rsidRDefault="00152032" w:rsidP="00E72EC2">
      <w:pPr>
        <w:spacing w:after="120" w:line="300" w:lineRule="auto"/>
        <w:jc w:val="center"/>
        <w:rPr>
          <w:rFonts w:ascii="Arial" w:eastAsia="Arial" w:hAnsi="Arial" w:cs="Arial"/>
          <w:sz w:val="18"/>
        </w:rPr>
      </w:pPr>
      <w:r w:rsidRPr="007D4280">
        <w:rPr>
          <w:noProof/>
        </w:rPr>
        <w:drawing>
          <wp:inline distT="0" distB="0" distL="0" distR="0" wp14:anchorId="67A2BB61" wp14:editId="5BAA5B49">
            <wp:extent cx="1805813" cy="195072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813" cy="1950720"/>
                    </a:xfrm>
                    <a:prstGeom prst="rect">
                      <a:avLst/>
                    </a:prstGeom>
                    <a:noFill/>
                    <a:ln>
                      <a:noFill/>
                    </a:ln>
                  </pic:spPr>
                </pic:pic>
              </a:graphicData>
            </a:graphic>
          </wp:inline>
        </w:drawing>
      </w:r>
    </w:p>
    <w:p w14:paraId="56ADFA3D" w14:textId="77777777" w:rsidR="00A77B3E" w:rsidRPr="007D4280" w:rsidRDefault="00A77B3E" w:rsidP="00E72EC2">
      <w:pPr>
        <w:spacing w:after="120" w:line="300" w:lineRule="auto"/>
        <w:rPr>
          <w:rFonts w:ascii="Arial" w:eastAsia="Arial" w:hAnsi="Arial" w:cs="Arial"/>
          <w:sz w:val="18"/>
        </w:rPr>
      </w:pPr>
    </w:p>
    <w:p w14:paraId="6B65CBBA" w14:textId="77777777" w:rsidR="00A77B3E" w:rsidRPr="007D4280" w:rsidRDefault="00A77B3E" w:rsidP="00E72EC2">
      <w:pPr>
        <w:spacing w:after="120" w:line="300" w:lineRule="auto"/>
        <w:rPr>
          <w:rFonts w:ascii="Arial" w:eastAsia="Arial" w:hAnsi="Arial" w:cs="Arial"/>
          <w:sz w:val="18"/>
        </w:rPr>
      </w:pPr>
    </w:p>
    <w:p w14:paraId="3B45890B" w14:textId="77777777" w:rsidR="00A77B3E" w:rsidRPr="007D4280" w:rsidRDefault="00A77B3E" w:rsidP="00E72EC2">
      <w:pPr>
        <w:spacing w:after="120" w:line="300" w:lineRule="auto"/>
        <w:rPr>
          <w:rFonts w:ascii="Arial" w:eastAsia="Arial" w:hAnsi="Arial" w:cs="Arial"/>
          <w:sz w:val="18"/>
        </w:rPr>
      </w:pPr>
    </w:p>
    <w:p w14:paraId="2DAF4FEA" w14:textId="77777777" w:rsidR="00A77B3E" w:rsidRPr="007D4280" w:rsidRDefault="00152032" w:rsidP="00E72EC2">
      <w:pPr>
        <w:spacing w:after="160" w:line="300" w:lineRule="auto"/>
        <w:jc w:val="center"/>
        <w:rPr>
          <w:rFonts w:ascii="Arial" w:eastAsia="Arial" w:hAnsi="Arial" w:cs="Arial"/>
          <w:sz w:val="18"/>
        </w:rPr>
      </w:pPr>
      <w:r w:rsidRPr="007D4280">
        <w:rPr>
          <w:rFonts w:ascii="Arial" w:hAnsi="Arial"/>
          <w:sz w:val="48"/>
        </w:rPr>
        <w:t>LES ALIMENTS MAPLE LEAF INC.</w:t>
      </w:r>
    </w:p>
    <w:p w14:paraId="3999948E" w14:textId="77777777" w:rsidR="00A77B3E" w:rsidRPr="007D4280" w:rsidRDefault="00A77B3E" w:rsidP="00E72EC2">
      <w:pPr>
        <w:spacing w:after="160" w:line="300" w:lineRule="auto"/>
        <w:rPr>
          <w:rFonts w:ascii="Arial" w:eastAsia="Arial" w:hAnsi="Arial" w:cs="Arial"/>
          <w:sz w:val="18"/>
        </w:rPr>
      </w:pPr>
    </w:p>
    <w:p w14:paraId="53E4EF8A" w14:textId="77777777" w:rsidR="00A77B3E" w:rsidRPr="007D4280" w:rsidRDefault="00152032" w:rsidP="00E72EC2">
      <w:pPr>
        <w:spacing w:after="160" w:line="300" w:lineRule="auto"/>
        <w:jc w:val="center"/>
        <w:rPr>
          <w:rFonts w:ascii="Arial" w:eastAsia="Arial" w:hAnsi="Arial" w:cs="Arial"/>
          <w:sz w:val="18"/>
        </w:rPr>
      </w:pPr>
      <w:r w:rsidRPr="007D4280">
        <w:rPr>
          <w:rFonts w:ascii="Arial" w:hAnsi="Arial"/>
          <w:sz w:val="28"/>
        </w:rPr>
        <w:t>NOTICE ANNUELLE</w:t>
      </w:r>
    </w:p>
    <w:p w14:paraId="10C666D0" w14:textId="77777777" w:rsidR="00A77B3E" w:rsidRPr="007D4280" w:rsidRDefault="00A77B3E" w:rsidP="00E72EC2">
      <w:pPr>
        <w:spacing w:after="160" w:line="300" w:lineRule="auto"/>
        <w:rPr>
          <w:rFonts w:ascii="Arial" w:eastAsia="Arial" w:hAnsi="Arial" w:cs="Arial"/>
          <w:sz w:val="18"/>
        </w:rPr>
      </w:pPr>
    </w:p>
    <w:p w14:paraId="2662FFB3" w14:textId="77777777" w:rsidR="00A77B3E" w:rsidRPr="007D4280" w:rsidRDefault="00A77B3E" w:rsidP="00E72EC2">
      <w:pPr>
        <w:spacing w:after="160" w:line="300" w:lineRule="auto"/>
        <w:rPr>
          <w:rFonts w:ascii="Arial" w:eastAsia="Arial" w:hAnsi="Arial" w:cs="Arial"/>
          <w:sz w:val="18"/>
        </w:rPr>
      </w:pPr>
    </w:p>
    <w:p w14:paraId="3EF82A1A" w14:textId="77777777" w:rsidR="00A77B3E" w:rsidRPr="007D4280" w:rsidRDefault="00A77B3E" w:rsidP="00E72EC2">
      <w:pPr>
        <w:spacing w:after="160" w:line="300" w:lineRule="auto"/>
        <w:rPr>
          <w:rFonts w:ascii="Arial" w:eastAsia="Arial" w:hAnsi="Arial" w:cs="Arial"/>
          <w:color w:val="FF0000"/>
          <w:sz w:val="18"/>
        </w:rPr>
      </w:pPr>
    </w:p>
    <w:p w14:paraId="51740A80" w14:textId="7F268A4C" w:rsidR="00A77B3E" w:rsidRPr="007D4280" w:rsidRDefault="00152032" w:rsidP="00E72EC2">
      <w:pPr>
        <w:spacing w:after="160" w:line="300" w:lineRule="auto"/>
        <w:jc w:val="center"/>
        <w:rPr>
          <w:rFonts w:ascii="Arial" w:eastAsia="Arial" w:hAnsi="Arial" w:cs="Arial"/>
          <w:b/>
          <w:bCs/>
          <w:sz w:val="18"/>
        </w:rPr>
      </w:pPr>
      <w:r w:rsidRPr="007D4280">
        <w:rPr>
          <w:rFonts w:ascii="Arial" w:hAnsi="Arial"/>
          <w:b/>
        </w:rPr>
        <w:t>31 mars 2026</w:t>
      </w:r>
    </w:p>
    <w:p w14:paraId="6BC3AF48" w14:textId="77777777" w:rsidR="00A77B3E" w:rsidRPr="007D4280" w:rsidRDefault="00A77B3E" w:rsidP="00E72EC2">
      <w:pPr>
        <w:spacing w:line="300" w:lineRule="auto"/>
        <w:rPr>
          <w:rFonts w:ascii="Arial" w:eastAsia="Arial" w:hAnsi="Arial" w:cs="Arial"/>
          <w:sz w:val="18"/>
        </w:rPr>
      </w:pPr>
    </w:p>
    <w:p w14:paraId="4D2854BE" w14:textId="77777777" w:rsidR="00A77B3E" w:rsidRPr="007D4280" w:rsidRDefault="00A77B3E" w:rsidP="00E72EC2">
      <w:pPr>
        <w:spacing w:line="300" w:lineRule="auto"/>
        <w:rPr>
          <w:rFonts w:ascii="Arial" w:eastAsia="Arial" w:hAnsi="Arial" w:cs="Arial"/>
          <w:sz w:val="18"/>
        </w:rPr>
        <w:sectPr w:rsidR="00A77B3E" w:rsidRPr="007D4280" w:rsidSect="00256DE2">
          <w:headerReference w:type="default" r:id="rId10"/>
          <w:footerReference w:type="default" r:id="rId11"/>
          <w:headerReference w:type="first" r:id="rId12"/>
          <w:type w:val="continuous"/>
          <w:pgSz w:w="12240" w:h="15840"/>
          <w:pgMar w:top="1440" w:right="1224" w:bottom="1440" w:left="1224" w:header="270" w:footer="270" w:gutter="0"/>
          <w:cols w:space="708"/>
          <w:titlePg/>
          <w:docGrid w:linePitch="360"/>
        </w:sectPr>
      </w:pPr>
    </w:p>
    <w:bookmarkStart w:id="0" w:name="Section2" w:displacedByCustomXml="next"/>
    <w:bookmarkEnd w:id="0" w:displacedByCustomXml="next"/>
    <w:sdt>
      <w:sdtPr>
        <w:rPr>
          <w:rFonts w:ascii="Arial" w:eastAsia="Times New Roman" w:hAnsi="Arial" w:cs="Arial"/>
          <w:color w:val="auto"/>
          <w:kern w:val="16"/>
          <w:sz w:val="18"/>
          <w:szCs w:val="18"/>
        </w:rPr>
        <w:id w:val="-1545604382"/>
        <w:docPartObj>
          <w:docPartGallery w:val="Table of Contents"/>
          <w:docPartUnique/>
        </w:docPartObj>
      </w:sdtPr>
      <w:sdtEndPr>
        <w:rPr>
          <w:b/>
          <w:bCs/>
          <w:noProof/>
        </w:rPr>
      </w:sdtEndPr>
      <w:sdtContent>
        <w:p w14:paraId="217534AF" w14:textId="77777777" w:rsidR="00BB45CA" w:rsidRPr="007D4280" w:rsidRDefault="00BB45CA" w:rsidP="00E72EC2">
          <w:pPr>
            <w:pStyle w:val="TOCHeading"/>
            <w:spacing w:before="0" w:line="300" w:lineRule="auto"/>
            <w:rPr>
              <w:rFonts w:ascii="Arial" w:hAnsi="Arial" w:cs="Arial"/>
              <w:sz w:val="18"/>
              <w:szCs w:val="18"/>
            </w:rPr>
          </w:pPr>
        </w:p>
        <w:p w14:paraId="03237F60" w14:textId="4709252C" w:rsidR="006D21A2" w:rsidRPr="00681885" w:rsidRDefault="00152032">
          <w:pPr>
            <w:pStyle w:val="TOC1"/>
            <w:rPr>
              <w:rFonts w:ascii="Arial" w:eastAsiaTheme="minorEastAsia" w:hAnsi="Arial" w:cs="Arial"/>
              <w:noProof/>
              <w:kern w:val="2"/>
              <w:sz w:val="18"/>
              <w:szCs w:val="18"/>
              <w:lang w:eastAsia="fr-CA"/>
              <w14:ligatures w14:val="standardContextual"/>
            </w:rPr>
          </w:pPr>
          <w:r w:rsidRPr="007D4280">
            <w:rPr>
              <w:rFonts w:ascii="Arial" w:hAnsi="Arial" w:cs="Arial"/>
              <w:sz w:val="18"/>
            </w:rPr>
            <w:fldChar w:fldCharType="begin"/>
          </w:r>
          <w:r w:rsidRPr="007D4280">
            <w:rPr>
              <w:rFonts w:ascii="Arial" w:hAnsi="Arial" w:cs="Arial"/>
              <w:sz w:val="18"/>
            </w:rPr>
            <w:instrText xml:space="preserve"> TOC \o "1-3" \h \z \u </w:instrText>
          </w:r>
          <w:r w:rsidRPr="007D4280">
            <w:rPr>
              <w:rFonts w:ascii="Arial" w:hAnsi="Arial" w:cs="Arial"/>
              <w:sz w:val="18"/>
            </w:rPr>
            <w:fldChar w:fldCharType="separate"/>
          </w:r>
          <w:hyperlink w:anchor="_Toc226985966" w:history="1">
            <w:r w:rsidR="006D21A2" w:rsidRPr="00681885">
              <w:rPr>
                <w:rStyle w:val="Hyperlink"/>
                <w:rFonts w:ascii="Arial" w:hAnsi="Arial" w:cs="Arial"/>
                <w:noProof/>
                <w:sz w:val="18"/>
                <w:szCs w:val="18"/>
              </w:rPr>
              <w:t>ÉNONCÉS PROSPECTIFS</w:t>
            </w:r>
            <w:r w:rsidR="006D21A2" w:rsidRPr="00681885">
              <w:rPr>
                <w:rFonts w:ascii="Arial" w:hAnsi="Arial" w:cs="Arial"/>
                <w:noProof/>
                <w:webHidden/>
                <w:sz w:val="18"/>
                <w:szCs w:val="18"/>
              </w:rPr>
              <w:tab/>
            </w:r>
            <w:r w:rsidR="006D21A2" w:rsidRPr="00681885">
              <w:rPr>
                <w:rFonts w:ascii="Arial" w:hAnsi="Arial" w:cs="Arial"/>
                <w:noProof/>
                <w:webHidden/>
                <w:sz w:val="18"/>
                <w:szCs w:val="18"/>
              </w:rPr>
              <w:fldChar w:fldCharType="begin"/>
            </w:r>
            <w:r w:rsidR="006D21A2" w:rsidRPr="00681885">
              <w:rPr>
                <w:rFonts w:ascii="Arial" w:hAnsi="Arial" w:cs="Arial"/>
                <w:noProof/>
                <w:webHidden/>
                <w:sz w:val="18"/>
                <w:szCs w:val="18"/>
              </w:rPr>
              <w:instrText xml:space="preserve"> PAGEREF _Toc226985966 \h </w:instrText>
            </w:r>
            <w:r w:rsidR="006D21A2" w:rsidRPr="00681885">
              <w:rPr>
                <w:rFonts w:ascii="Arial" w:hAnsi="Arial" w:cs="Arial"/>
                <w:noProof/>
                <w:webHidden/>
                <w:sz w:val="18"/>
                <w:szCs w:val="18"/>
              </w:rPr>
            </w:r>
            <w:r w:rsidR="006D21A2" w:rsidRPr="00681885">
              <w:rPr>
                <w:rFonts w:ascii="Arial" w:hAnsi="Arial" w:cs="Arial"/>
                <w:noProof/>
                <w:webHidden/>
                <w:sz w:val="18"/>
                <w:szCs w:val="18"/>
              </w:rPr>
              <w:fldChar w:fldCharType="separate"/>
            </w:r>
            <w:r w:rsidR="007D4280" w:rsidRPr="00681885">
              <w:rPr>
                <w:rFonts w:ascii="Arial" w:hAnsi="Arial" w:cs="Arial"/>
                <w:noProof/>
                <w:webHidden/>
                <w:sz w:val="18"/>
                <w:szCs w:val="18"/>
              </w:rPr>
              <w:t>1</w:t>
            </w:r>
            <w:r w:rsidR="006D21A2" w:rsidRPr="00681885">
              <w:rPr>
                <w:rFonts w:ascii="Arial" w:hAnsi="Arial" w:cs="Arial"/>
                <w:noProof/>
                <w:webHidden/>
                <w:sz w:val="18"/>
                <w:szCs w:val="18"/>
              </w:rPr>
              <w:fldChar w:fldCharType="end"/>
            </w:r>
          </w:hyperlink>
        </w:p>
        <w:p w14:paraId="03DA2BF1" w14:textId="74FA7066"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67" w:history="1">
            <w:r w:rsidRPr="00681885">
              <w:rPr>
                <w:rStyle w:val="Hyperlink"/>
                <w:rFonts w:ascii="Arial" w:hAnsi="Arial" w:cs="Arial"/>
                <w:noProof/>
                <w:sz w:val="18"/>
                <w:szCs w:val="18"/>
              </w:rPr>
              <w:t>STRUCTURE DE LA SOCIÉTÉ</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_Toc226985967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6</w:t>
            </w:r>
            <w:r w:rsidRPr="00681885">
              <w:rPr>
                <w:rFonts w:ascii="Arial" w:hAnsi="Arial" w:cs="Arial"/>
                <w:noProof/>
                <w:webHidden/>
                <w:sz w:val="18"/>
                <w:szCs w:val="18"/>
              </w:rPr>
              <w:fldChar w:fldCharType="end"/>
            </w:r>
          </w:hyperlink>
        </w:p>
        <w:p w14:paraId="63D47A84" w14:textId="74BBC857"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68" w:history="1">
            <w:r w:rsidRPr="00681885">
              <w:rPr>
                <w:rStyle w:val="Hyperlink"/>
                <w:rFonts w:ascii="Arial" w:hAnsi="Arial" w:cs="Arial"/>
                <w:noProof/>
                <w:sz w:val="18"/>
                <w:szCs w:val="18"/>
              </w:rPr>
              <w:t>ÉVOLUTION GÉNÉRALE DE L’ACTIVITÉ</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_Toc226985968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6</w:t>
            </w:r>
            <w:r w:rsidRPr="00681885">
              <w:rPr>
                <w:rFonts w:ascii="Arial" w:hAnsi="Arial" w:cs="Arial"/>
                <w:noProof/>
                <w:webHidden/>
                <w:sz w:val="18"/>
                <w:szCs w:val="18"/>
              </w:rPr>
              <w:fldChar w:fldCharType="end"/>
            </w:r>
          </w:hyperlink>
        </w:p>
        <w:p w14:paraId="696D131A" w14:textId="4F1871AC"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69" w:history="1">
            <w:r w:rsidRPr="00681885">
              <w:rPr>
                <w:rStyle w:val="Hyperlink"/>
                <w:rFonts w:ascii="Arial" w:hAnsi="Arial" w:cs="Arial"/>
                <w:noProof/>
                <w:sz w:val="18"/>
                <w:szCs w:val="18"/>
              </w:rPr>
              <w:t>DESCRIPTION DES A</w:t>
            </w:r>
            <w:r w:rsidRPr="00681885">
              <w:rPr>
                <w:rStyle w:val="Hyperlink"/>
                <w:rFonts w:ascii="Arial" w:hAnsi="Arial" w:cs="Arial"/>
                <w:noProof/>
                <w:sz w:val="18"/>
                <w:szCs w:val="18"/>
              </w:rPr>
              <w:t>C</w:t>
            </w:r>
            <w:r w:rsidRPr="00681885">
              <w:rPr>
                <w:rStyle w:val="Hyperlink"/>
                <w:rFonts w:ascii="Arial" w:hAnsi="Arial" w:cs="Arial"/>
                <w:noProof/>
                <w:sz w:val="18"/>
                <w:szCs w:val="18"/>
              </w:rPr>
              <w:t>TIVITÉS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_Toc226985969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11</w:t>
            </w:r>
            <w:r w:rsidRPr="00681885">
              <w:rPr>
                <w:rFonts w:ascii="Arial" w:hAnsi="Arial" w:cs="Arial"/>
                <w:noProof/>
                <w:webHidden/>
                <w:sz w:val="18"/>
                <w:szCs w:val="18"/>
              </w:rPr>
              <w:fldChar w:fldCharType="end"/>
            </w:r>
          </w:hyperlink>
        </w:p>
        <w:p w14:paraId="1882B25A" w14:textId="2A0EA8D9"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70" w:history="1">
            <w:r w:rsidRPr="00681885">
              <w:rPr>
                <w:rStyle w:val="Hyperlink"/>
                <w:rFonts w:ascii="Arial" w:hAnsi="Arial" w:cs="Arial"/>
                <w:noProof/>
                <w:sz w:val="18"/>
                <w:szCs w:val="18"/>
              </w:rPr>
              <w:t>AUTRES RENSEIGNEMENTS SUR LES ALIMENTS MAPLE LEAF</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_Toc226985970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15</w:t>
            </w:r>
            <w:r w:rsidRPr="00681885">
              <w:rPr>
                <w:rFonts w:ascii="Arial" w:hAnsi="Arial" w:cs="Arial"/>
                <w:noProof/>
                <w:webHidden/>
                <w:sz w:val="18"/>
                <w:szCs w:val="18"/>
              </w:rPr>
              <w:fldChar w:fldCharType="end"/>
            </w:r>
          </w:hyperlink>
        </w:p>
        <w:p w14:paraId="6900DB5E" w14:textId="6675E246"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1" w:history="1">
            <w:r w:rsidRPr="00681885">
              <w:rPr>
                <w:rStyle w:val="Hyperlink"/>
                <w:rFonts w:ascii="Arial" w:hAnsi="Arial" w:cs="Arial"/>
                <w:noProof/>
                <w:sz w:val="18"/>
                <w:szCs w:val="18"/>
              </w:rPr>
              <w:t>Activités à l’étranger</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_Toc226985971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15</w:t>
            </w:r>
            <w:r w:rsidRPr="00681885">
              <w:rPr>
                <w:rFonts w:ascii="Arial" w:hAnsi="Arial" w:cs="Arial"/>
                <w:noProof/>
                <w:webHidden/>
                <w:sz w:val="18"/>
                <w:szCs w:val="18"/>
              </w:rPr>
              <w:fldChar w:fldCharType="end"/>
            </w:r>
          </w:hyperlink>
        </w:p>
        <w:p w14:paraId="60EC9996" w14:textId="064B030C"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2" w:history="1">
            <w:r w:rsidRPr="00681885">
              <w:rPr>
                <w:rStyle w:val="Hyperlink"/>
                <w:rFonts w:ascii="Arial" w:hAnsi="Arial" w:cs="Arial"/>
                <w:noProof/>
                <w:sz w:val="18"/>
                <w:szCs w:val="18"/>
              </w:rPr>
              <w:t>Propriété intellectuelle : marques de commerce, marques et innovation</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_Toc226985972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15</w:t>
            </w:r>
            <w:r w:rsidRPr="00681885">
              <w:rPr>
                <w:rFonts w:ascii="Arial" w:hAnsi="Arial" w:cs="Arial"/>
                <w:noProof/>
                <w:webHidden/>
                <w:sz w:val="18"/>
                <w:szCs w:val="18"/>
              </w:rPr>
              <w:fldChar w:fldCharType="end"/>
            </w:r>
          </w:hyperlink>
        </w:p>
        <w:p w14:paraId="6FCCF3AB" w14:textId="24B5296F"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3" w:history="1">
            <w:r w:rsidRPr="00681885">
              <w:rPr>
                <w:rStyle w:val="Hyperlink"/>
                <w:rFonts w:ascii="Arial" w:hAnsi="Arial" w:cs="Arial"/>
                <w:noProof/>
                <w:sz w:val="18"/>
                <w:szCs w:val="18"/>
              </w:rPr>
              <w:t>Relations avec les employés et relations de travail</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_Toc226985973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16</w:t>
            </w:r>
            <w:r w:rsidRPr="00681885">
              <w:rPr>
                <w:rFonts w:ascii="Arial" w:hAnsi="Arial" w:cs="Arial"/>
                <w:noProof/>
                <w:webHidden/>
                <w:sz w:val="18"/>
                <w:szCs w:val="18"/>
              </w:rPr>
              <w:fldChar w:fldCharType="end"/>
            </w:r>
          </w:hyperlink>
        </w:p>
        <w:p w14:paraId="24ACE1B5" w14:textId="7BADF134"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4" w:history="1">
            <w:r w:rsidRPr="00681885">
              <w:rPr>
                <w:rStyle w:val="Hyperlink"/>
                <w:rFonts w:ascii="Arial" w:hAnsi="Arial" w:cs="Arial"/>
                <w:noProof/>
                <w:sz w:val="18"/>
                <w:szCs w:val="18"/>
              </w:rPr>
              <w:t>Sécurité</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_Toc226985974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17</w:t>
            </w:r>
            <w:r w:rsidRPr="00681885">
              <w:rPr>
                <w:rFonts w:ascii="Arial" w:hAnsi="Arial" w:cs="Arial"/>
                <w:noProof/>
                <w:webHidden/>
                <w:sz w:val="18"/>
                <w:szCs w:val="18"/>
              </w:rPr>
              <w:fldChar w:fldCharType="end"/>
            </w:r>
          </w:hyperlink>
        </w:p>
        <w:p w14:paraId="175B9687" w14:textId="5F1C8CFF"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5" w:history="1">
            <w:r w:rsidRPr="00681885">
              <w:rPr>
                <w:rStyle w:val="Hyperlink"/>
                <w:rFonts w:ascii="Arial" w:hAnsi="Arial" w:cs="Arial"/>
                <w:noProof/>
                <w:sz w:val="18"/>
                <w:szCs w:val="18"/>
              </w:rPr>
              <w:t>Prix</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_Toc226985975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17</w:t>
            </w:r>
            <w:r w:rsidRPr="00681885">
              <w:rPr>
                <w:rFonts w:ascii="Arial" w:hAnsi="Arial" w:cs="Arial"/>
                <w:noProof/>
                <w:webHidden/>
                <w:sz w:val="18"/>
                <w:szCs w:val="18"/>
              </w:rPr>
              <w:fldChar w:fldCharType="end"/>
            </w:r>
          </w:hyperlink>
        </w:p>
        <w:p w14:paraId="2FAA6E3E" w14:textId="47C31F9E"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6" w:history="1">
            <w:r w:rsidRPr="00681885">
              <w:rPr>
                <w:rStyle w:val="Hyperlink"/>
                <w:rFonts w:ascii="Arial" w:hAnsi="Arial" w:cs="Arial"/>
                <w:noProof/>
                <w:sz w:val="18"/>
                <w:szCs w:val="18"/>
              </w:rPr>
              <w:t>Dépendance envers les clients clés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_Toc226985976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17</w:t>
            </w:r>
            <w:r w:rsidRPr="00681885">
              <w:rPr>
                <w:rFonts w:ascii="Arial" w:hAnsi="Arial" w:cs="Arial"/>
                <w:noProof/>
                <w:webHidden/>
                <w:sz w:val="18"/>
                <w:szCs w:val="18"/>
              </w:rPr>
              <w:fldChar w:fldCharType="end"/>
            </w:r>
          </w:hyperlink>
        </w:p>
        <w:p w14:paraId="38541904" w14:textId="6CCE5D0F"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77" w:history="1">
            <w:r w:rsidRPr="00681885">
              <w:rPr>
                <w:rStyle w:val="Hyperlink"/>
                <w:rFonts w:ascii="Arial" w:hAnsi="Arial" w:cs="Arial"/>
                <w:noProof/>
                <w:sz w:val="18"/>
                <w:szCs w:val="18"/>
              </w:rPr>
              <w:t>Dépendance économique</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_Toc226985977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18</w:t>
            </w:r>
            <w:r w:rsidRPr="00681885">
              <w:rPr>
                <w:rFonts w:ascii="Arial" w:hAnsi="Arial" w:cs="Arial"/>
                <w:noProof/>
                <w:webHidden/>
                <w:sz w:val="18"/>
                <w:szCs w:val="18"/>
              </w:rPr>
              <w:fldChar w:fldCharType="end"/>
            </w:r>
          </w:hyperlink>
        </w:p>
        <w:p w14:paraId="0D5075CA" w14:textId="5D4CB0C3"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78" w:history="1">
            <w:r w:rsidRPr="00681885">
              <w:rPr>
                <w:rStyle w:val="Hyperlink"/>
                <w:rFonts w:ascii="Arial" w:hAnsi="Arial" w:cs="Arial"/>
                <w:noProof/>
                <w:sz w:val="18"/>
                <w:szCs w:val="18"/>
              </w:rPr>
              <w:t>DURABILITÉ ENVIRONNEMENTALE</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_Toc226985978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18</w:t>
            </w:r>
            <w:r w:rsidRPr="00681885">
              <w:rPr>
                <w:rFonts w:ascii="Arial" w:hAnsi="Arial" w:cs="Arial"/>
                <w:noProof/>
                <w:webHidden/>
                <w:sz w:val="18"/>
                <w:szCs w:val="18"/>
              </w:rPr>
              <w:fldChar w:fldCharType="end"/>
            </w:r>
          </w:hyperlink>
        </w:p>
        <w:p w14:paraId="62C376DC" w14:textId="6AE2151C"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79" w:history="1">
            <w:r w:rsidRPr="00681885">
              <w:rPr>
                <w:rStyle w:val="Hyperlink"/>
                <w:rFonts w:ascii="Arial" w:hAnsi="Arial" w:cs="Arial"/>
                <w:noProof/>
                <w:sz w:val="18"/>
                <w:szCs w:val="18"/>
              </w:rPr>
              <w:t>FACTEURS DE RISQUE</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_Toc226985979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19</w:t>
            </w:r>
            <w:r w:rsidRPr="00681885">
              <w:rPr>
                <w:rFonts w:ascii="Arial" w:hAnsi="Arial" w:cs="Arial"/>
                <w:noProof/>
                <w:webHidden/>
                <w:sz w:val="18"/>
                <w:szCs w:val="18"/>
              </w:rPr>
              <w:fldChar w:fldCharType="end"/>
            </w:r>
          </w:hyperlink>
        </w:p>
        <w:p w14:paraId="7FB3C3C3" w14:textId="79B66A7D"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80" w:history="1">
            <w:r w:rsidRPr="00681885">
              <w:rPr>
                <w:rStyle w:val="Hyperlink"/>
                <w:rFonts w:ascii="Arial" w:hAnsi="Arial" w:cs="Arial"/>
                <w:noProof/>
                <w:sz w:val="18"/>
                <w:szCs w:val="18"/>
              </w:rPr>
              <w:t>DESCRIPTION DE LA STRUCTURE DU CAPITAL</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_Toc226985980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19</w:t>
            </w:r>
            <w:r w:rsidRPr="00681885">
              <w:rPr>
                <w:rFonts w:ascii="Arial" w:hAnsi="Arial" w:cs="Arial"/>
                <w:noProof/>
                <w:webHidden/>
                <w:sz w:val="18"/>
                <w:szCs w:val="18"/>
              </w:rPr>
              <w:fldChar w:fldCharType="end"/>
            </w:r>
          </w:hyperlink>
        </w:p>
        <w:p w14:paraId="2E6A1AFC" w14:textId="7DD182D0"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1" w:history="1">
            <w:r w:rsidRPr="00681885">
              <w:rPr>
                <w:rStyle w:val="Hyperlink"/>
                <w:rFonts w:ascii="Arial" w:hAnsi="Arial" w:cs="Arial"/>
                <w:noProof/>
                <w:sz w:val="18"/>
                <w:szCs w:val="18"/>
              </w:rPr>
              <w:t>Actions ordinaires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_Toc226985981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19</w:t>
            </w:r>
            <w:r w:rsidRPr="00681885">
              <w:rPr>
                <w:rFonts w:ascii="Arial" w:hAnsi="Arial" w:cs="Arial"/>
                <w:noProof/>
                <w:webHidden/>
                <w:sz w:val="18"/>
                <w:szCs w:val="18"/>
              </w:rPr>
              <w:fldChar w:fldCharType="end"/>
            </w:r>
          </w:hyperlink>
        </w:p>
        <w:p w14:paraId="3799F4DD" w14:textId="7D3C0015"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2" w:history="1">
            <w:r w:rsidRPr="00681885">
              <w:rPr>
                <w:rStyle w:val="Hyperlink"/>
                <w:rFonts w:ascii="Arial" w:hAnsi="Arial" w:cs="Arial"/>
                <w:noProof/>
                <w:sz w:val="18"/>
                <w:szCs w:val="18"/>
              </w:rPr>
              <w:t>Titres sans droit de vote</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_Toc226985982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20</w:t>
            </w:r>
            <w:r w:rsidRPr="00681885">
              <w:rPr>
                <w:rFonts w:ascii="Arial" w:hAnsi="Arial" w:cs="Arial"/>
                <w:noProof/>
                <w:webHidden/>
                <w:sz w:val="18"/>
                <w:szCs w:val="18"/>
              </w:rPr>
              <w:fldChar w:fldCharType="end"/>
            </w:r>
          </w:hyperlink>
        </w:p>
        <w:p w14:paraId="2853886B" w14:textId="7425DF66"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3" w:history="1">
            <w:r w:rsidRPr="00681885">
              <w:rPr>
                <w:rStyle w:val="Hyperlink"/>
                <w:rFonts w:ascii="Arial" w:hAnsi="Arial" w:cs="Arial"/>
                <w:noProof/>
                <w:sz w:val="18"/>
                <w:szCs w:val="18"/>
              </w:rPr>
              <w:t>Actions privilégiées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_Toc226985983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20</w:t>
            </w:r>
            <w:r w:rsidRPr="00681885">
              <w:rPr>
                <w:rFonts w:ascii="Arial" w:hAnsi="Arial" w:cs="Arial"/>
                <w:noProof/>
                <w:webHidden/>
                <w:sz w:val="18"/>
                <w:szCs w:val="18"/>
              </w:rPr>
              <w:fldChar w:fldCharType="end"/>
            </w:r>
          </w:hyperlink>
        </w:p>
        <w:p w14:paraId="27A54B50" w14:textId="2D7EA0A7"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4" w:history="1">
            <w:r w:rsidRPr="00681885">
              <w:rPr>
                <w:rStyle w:val="Hyperlink"/>
                <w:rFonts w:ascii="Arial" w:hAnsi="Arial" w:cs="Arial"/>
                <w:noProof/>
                <w:sz w:val="18"/>
                <w:szCs w:val="18"/>
              </w:rPr>
              <w:t>Accord de gouvernance</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_Toc226985984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21</w:t>
            </w:r>
            <w:r w:rsidRPr="00681885">
              <w:rPr>
                <w:rFonts w:ascii="Arial" w:hAnsi="Arial" w:cs="Arial"/>
                <w:noProof/>
                <w:webHidden/>
                <w:sz w:val="18"/>
                <w:szCs w:val="18"/>
              </w:rPr>
              <w:fldChar w:fldCharType="end"/>
            </w:r>
          </w:hyperlink>
        </w:p>
        <w:p w14:paraId="0B46F8C2" w14:textId="2A949993"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5" w:history="1">
            <w:r w:rsidRPr="00681885">
              <w:rPr>
                <w:rStyle w:val="Hyperlink"/>
                <w:rFonts w:ascii="Arial" w:hAnsi="Arial" w:cs="Arial"/>
                <w:noProof/>
                <w:sz w:val="18"/>
                <w:szCs w:val="18"/>
              </w:rPr>
              <w:t>Facilités de crédit</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_Toc226985985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22</w:t>
            </w:r>
            <w:r w:rsidRPr="00681885">
              <w:rPr>
                <w:rFonts w:ascii="Arial" w:hAnsi="Arial" w:cs="Arial"/>
                <w:noProof/>
                <w:webHidden/>
                <w:sz w:val="18"/>
                <w:szCs w:val="18"/>
              </w:rPr>
              <w:fldChar w:fldCharType="end"/>
            </w:r>
          </w:hyperlink>
        </w:p>
        <w:p w14:paraId="3CC1E2E6" w14:textId="6C001A44"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86" w:history="1">
            <w:r w:rsidRPr="00681885">
              <w:rPr>
                <w:rStyle w:val="Hyperlink"/>
                <w:rFonts w:ascii="Arial" w:hAnsi="Arial" w:cs="Arial"/>
                <w:noProof/>
                <w:sz w:val="18"/>
                <w:szCs w:val="18"/>
              </w:rPr>
              <w:t>DIVIDENDES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_Toc226985986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23</w:t>
            </w:r>
            <w:r w:rsidRPr="00681885">
              <w:rPr>
                <w:rFonts w:ascii="Arial" w:hAnsi="Arial" w:cs="Arial"/>
                <w:noProof/>
                <w:webHidden/>
                <w:sz w:val="18"/>
                <w:szCs w:val="18"/>
              </w:rPr>
              <w:fldChar w:fldCharType="end"/>
            </w:r>
          </w:hyperlink>
        </w:p>
        <w:p w14:paraId="752A62C6" w14:textId="26E0489A"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7" w:history="1">
            <w:r w:rsidRPr="00681885">
              <w:rPr>
                <w:rStyle w:val="Hyperlink"/>
                <w:rFonts w:ascii="Arial" w:hAnsi="Arial" w:cs="Arial"/>
                <w:noProof/>
                <w:sz w:val="18"/>
                <w:szCs w:val="18"/>
              </w:rPr>
              <w:t>Politique en matière de dividendes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_Toc226985987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23</w:t>
            </w:r>
            <w:r w:rsidRPr="00681885">
              <w:rPr>
                <w:rFonts w:ascii="Arial" w:hAnsi="Arial" w:cs="Arial"/>
                <w:noProof/>
                <w:webHidden/>
                <w:sz w:val="18"/>
                <w:szCs w:val="18"/>
              </w:rPr>
              <w:fldChar w:fldCharType="end"/>
            </w:r>
          </w:hyperlink>
        </w:p>
        <w:p w14:paraId="761C423C" w14:textId="1D3C8D80"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88" w:history="1">
            <w:r w:rsidRPr="00681885">
              <w:rPr>
                <w:rStyle w:val="Hyperlink"/>
                <w:rFonts w:ascii="Arial" w:hAnsi="Arial" w:cs="Arial"/>
                <w:noProof/>
                <w:sz w:val="18"/>
                <w:szCs w:val="18"/>
              </w:rPr>
              <w:t>Évolution des dividendes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_Toc226985988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24</w:t>
            </w:r>
            <w:r w:rsidRPr="00681885">
              <w:rPr>
                <w:rFonts w:ascii="Arial" w:hAnsi="Arial" w:cs="Arial"/>
                <w:noProof/>
                <w:webHidden/>
                <w:sz w:val="18"/>
                <w:szCs w:val="18"/>
              </w:rPr>
              <w:fldChar w:fldCharType="end"/>
            </w:r>
          </w:hyperlink>
        </w:p>
        <w:p w14:paraId="3525DED3" w14:textId="0D4C54EF"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89" w:history="1">
            <w:r w:rsidRPr="00681885">
              <w:rPr>
                <w:rStyle w:val="Hyperlink"/>
                <w:rFonts w:ascii="Arial" w:hAnsi="Arial" w:cs="Arial"/>
                <w:noProof/>
                <w:sz w:val="18"/>
                <w:szCs w:val="18"/>
              </w:rPr>
              <w:t>MARCHÉ POUR LA NÉGOCIATION DES TITRES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_Toc226985989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25</w:t>
            </w:r>
            <w:r w:rsidRPr="00681885">
              <w:rPr>
                <w:rFonts w:ascii="Arial" w:hAnsi="Arial" w:cs="Arial"/>
                <w:noProof/>
                <w:webHidden/>
                <w:sz w:val="18"/>
                <w:szCs w:val="18"/>
              </w:rPr>
              <w:fldChar w:fldCharType="end"/>
            </w:r>
          </w:hyperlink>
        </w:p>
        <w:p w14:paraId="08E21534" w14:textId="28618B34"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90" w:history="1">
            <w:r w:rsidRPr="00681885">
              <w:rPr>
                <w:rStyle w:val="Hyperlink"/>
                <w:rFonts w:ascii="Arial" w:hAnsi="Arial" w:cs="Arial"/>
                <w:noProof/>
                <w:sz w:val="18"/>
                <w:szCs w:val="18"/>
              </w:rPr>
              <w:t>ADMINISTRATEURS ET DIRIGEANTS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_Toc226985990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26</w:t>
            </w:r>
            <w:r w:rsidRPr="00681885">
              <w:rPr>
                <w:rFonts w:ascii="Arial" w:hAnsi="Arial" w:cs="Arial"/>
                <w:noProof/>
                <w:webHidden/>
                <w:sz w:val="18"/>
                <w:szCs w:val="18"/>
              </w:rPr>
              <w:fldChar w:fldCharType="end"/>
            </w:r>
          </w:hyperlink>
        </w:p>
        <w:p w14:paraId="6454297B" w14:textId="6D66C36D"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91" w:history="1">
            <w:r w:rsidRPr="00681885">
              <w:rPr>
                <w:rStyle w:val="Hyperlink"/>
                <w:rFonts w:ascii="Arial" w:hAnsi="Arial" w:cs="Arial"/>
                <w:noProof/>
                <w:sz w:val="18"/>
                <w:szCs w:val="18"/>
              </w:rPr>
              <w:t>Membres de la haute direction</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_Toc226985991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28</w:t>
            </w:r>
            <w:r w:rsidRPr="00681885">
              <w:rPr>
                <w:rFonts w:ascii="Arial" w:hAnsi="Arial" w:cs="Arial"/>
                <w:noProof/>
                <w:webHidden/>
                <w:sz w:val="18"/>
                <w:szCs w:val="18"/>
              </w:rPr>
              <w:fldChar w:fldCharType="end"/>
            </w:r>
          </w:hyperlink>
        </w:p>
        <w:p w14:paraId="0BC8395D" w14:textId="0BF8959C"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92" w:history="1">
            <w:r w:rsidRPr="00681885">
              <w:rPr>
                <w:rStyle w:val="Hyperlink"/>
                <w:rFonts w:ascii="Arial" w:hAnsi="Arial" w:cs="Arial"/>
                <w:noProof/>
                <w:sz w:val="18"/>
                <w:szCs w:val="18"/>
              </w:rPr>
              <w:t>Interdictions d’opérations, faillites, amendes ou sanctions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_Toc226985992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31</w:t>
            </w:r>
            <w:r w:rsidRPr="00681885">
              <w:rPr>
                <w:rFonts w:ascii="Arial" w:hAnsi="Arial" w:cs="Arial"/>
                <w:noProof/>
                <w:webHidden/>
                <w:sz w:val="18"/>
                <w:szCs w:val="18"/>
              </w:rPr>
              <w:fldChar w:fldCharType="end"/>
            </w:r>
          </w:hyperlink>
        </w:p>
        <w:p w14:paraId="1B4D6AEC" w14:textId="6BB24930"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93" w:history="1">
            <w:r w:rsidRPr="00681885">
              <w:rPr>
                <w:rStyle w:val="Hyperlink"/>
                <w:rFonts w:ascii="Arial" w:hAnsi="Arial" w:cs="Arial"/>
                <w:noProof/>
                <w:sz w:val="18"/>
                <w:szCs w:val="18"/>
              </w:rPr>
              <w:t>COMITÉ D’AUDIT</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_Toc226985993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32</w:t>
            </w:r>
            <w:r w:rsidRPr="00681885">
              <w:rPr>
                <w:rFonts w:ascii="Arial" w:hAnsi="Arial" w:cs="Arial"/>
                <w:noProof/>
                <w:webHidden/>
                <w:sz w:val="18"/>
                <w:szCs w:val="18"/>
              </w:rPr>
              <w:fldChar w:fldCharType="end"/>
            </w:r>
          </w:hyperlink>
        </w:p>
        <w:p w14:paraId="040B93D0" w14:textId="12BC1021"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94" w:history="1">
            <w:r w:rsidRPr="00681885">
              <w:rPr>
                <w:rStyle w:val="Hyperlink"/>
                <w:rFonts w:ascii="Arial" w:hAnsi="Arial" w:cs="Arial"/>
                <w:noProof/>
                <w:sz w:val="18"/>
                <w:szCs w:val="18"/>
              </w:rPr>
              <w:t>Composition du comité d’audit</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_Toc226985994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32</w:t>
            </w:r>
            <w:r w:rsidRPr="00681885">
              <w:rPr>
                <w:rFonts w:ascii="Arial" w:hAnsi="Arial" w:cs="Arial"/>
                <w:noProof/>
                <w:webHidden/>
                <w:sz w:val="18"/>
                <w:szCs w:val="18"/>
              </w:rPr>
              <w:fldChar w:fldCharType="end"/>
            </w:r>
          </w:hyperlink>
        </w:p>
        <w:p w14:paraId="4B324F41" w14:textId="0E023672" w:rsidR="006D21A2" w:rsidRPr="00681885" w:rsidRDefault="006D21A2">
          <w:pPr>
            <w:pStyle w:val="TOC2"/>
            <w:tabs>
              <w:tab w:val="right" w:leader="dot" w:pos="9350"/>
            </w:tabs>
            <w:rPr>
              <w:rFonts w:ascii="Arial" w:eastAsiaTheme="minorEastAsia" w:hAnsi="Arial" w:cs="Arial"/>
              <w:noProof/>
              <w:kern w:val="2"/>
              <w:sz w:val="18"/>
              <w:szCs w:val="18"/>
              <w:lang w:eastAsia="fr-CA"/>
              <w14:ligatures w14:val="standardContextual"/>
            </w:rPr>
          </w:pPr>
          <w:hyperlink w:anchor="_Toc226985995" w:history="1">
            <w:r w:rsidRPr="00681885">
              <w:rPr>
                <w:rStyle w:val="Hyperlink"/>
                <w:rFonts w:ascii="Arial" w:hAnsi="Arial" w:cs="Arial"/>
                <w:noProof/>
                <w:sz w:val="18"/>
                <w:szCs w:val="18"/>
              </w:rPr>
              <w:t>Formation et expérience pertinentes des membres du comité d’audit</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_Toc226985995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32</w:t>
            </w:r>
            <w:r w:rsidRPr="00681885">
              <w:rPr>
                <w:rFonts w:ascii="Arial" w:hAnsi="Arial" w:cs="Arial"/>
                <w:noProof/>
                <w:webHidden/>
                <w:sz w:val="18"/>
                <w:szCs w:val="18"/>
              </w:rPr>
              <w:fldChar w:fldCharType="end"/>
            </w:r>
          </w:hyperlink>
        </w:p>
        <w:p w14:paraId="64174F65" w14:textId="4F16CA4C"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96" w:history="1">
            <w:r w:rsidRPr="00681885">
              <w:rPr>
                <w:rStyle w:val="Hyperlink"/>
                <w:rFonts w:ascii="Arial" w:hAnsi="Arial" w:cs="Arial"/>
                <w:noProof/>
                <w:sz w:val="18"/>
                <w:szCs w:val="18"/>
              </w:rPr>
              <w:t>POURSUITES ET APPLICATION DE LA LOI</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_Toc226985996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35</w:t>
            </w:r>
            <w:r w:rsidRPr="00681885">
              <w:rPr>
                <w:rFonts w:ascii="Arial" w:hAnsi="Arial" w:cs="Arial"/>
                <w:noProof/>
                <w:webHidden/>
                <w:sz w:val="18"/>
                <w:szCs w:val="18"/>
              </w:rPr>
              <w:fldChar w:fldCharType="end"/>
            </w:r>
          </w:hyperlink>
        </w:p>
        <w:p w14:paraId="6D4DCD46" w14:textId="2F62608B"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97" w:history="1">
            <w:r w:rsidRPr="00681885">
              <w:rPr>
                <w:rStyle w:val="Hyperlink"/>
                <w:rFonts w:ascii="Arial" w:hAnsi="Arial" w:cs="Arial"/>
                <w:noProof/>
                <w:sz w:val="18"/>
                <w:szCs w:val="18"/>
              </w:rPr>
              <w:t>CONFLITS D’INTÉRÊTS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_Toc226985997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35</w:t>
            </w:r>
            <w:r w:rsidRPr="00681885">
              <w:rPr>
                <w:rFonts w:ascii="Arial" w:hAnsi="Arial" w:cs="Arial"/>
                <w:noProof/>
                <w:webHidden/>
                <w:sz w:val="18"/>
                <w:szCs w:val="18"/>
              </w:rPr>
              <w:fldChar w:fldCharType="end"/>
            </w:r>
          </w:hyperlink>
        </w:p>
        <w:p w14:paraId="5CC8F2BC" w14:textId="69FCB9C9"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98" w:history="1">
            <w:r w:rsidRPr="00681885">
              <w:rPr>
                <w:rStyle w:val="Hyperlink"/>
                <w:rFonts w:ascii="Arial" w:hAnsi="Arial" w:cs="Arial"/>
                <w:noProof/>
                <w:sz w:val="18"/>
                <w:szCs w:val="18"/>
              </w:rPr>
              <w:t>MEMBRES DE LA DIRECTION ET AUTRES PERSONNES INTÉRESSÉS DANS DES OPÉRATIONS IMPORTANTES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_Toc226985998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36</w:t>
            </w:r>
            <w:r w:rsidRPr="00681885">
              <w:rPr>
                <w:rFonts w:ascii="Arial" w:hAnsi="Arial" w:cs="Arial"/>
                <w:noProof/>
                <w:webHidden/>
                <w:sz w:val="18"/>
                <w:szCs w:val="18"/>
              </w:rPr>
              <w:fldChar w:fldCharType="end"/>
            </w:r>
          </w:hyperlink>
        </w:p>
        <w:p w14:paraId="2414FD53" w14:textId="2F960BD5"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5999" w:history="1">
            <w:r w:rsidRPr="00681885">
              <w:rPr>
                <w:rStyle w:val="Hyperlink"/>
                <w:rFonts w:ascii="Arial" w:hAnsi="Arial" w:cs="Arial"/>
                <w:noProof/>
                <w:sz w:val="18"/>
                <w:szCs w:val="18"/>
              </w:rPr>
              <w:t>AGENT DES TRANSFERTS ET AGENT CHARGÉ DE LA TENUE DES REGISTRES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_Toc226985999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36</w:t>
            </w:r>
            <w:r w:rsidRPr="00681885">
              <w:rPr>
                <w:rFonts w:ascii="Arial" w:hAnsi="Arial" w:cs="Arial"/>
                <w:noProof/>
                <w:webHidden/>
                <w:sz w:val="18"/>
                <w:szCs w:val="18"/>
              </w:rPr>
              <w:fldChar w:fldCharType="end"/>
            </w:r>
          </w:hyperlink>
        </w:p>
        <w:p w14:paraId="544729A0" w14:textId="77FD2495"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6000" w:history="1">
            <w:r w:rsidRPr="00681885">
              <w:rPr>
                <w:rStyle w:val="Hyperlink"/>
                <w:rFonts w:ascii="Arial" w:hAnsi="Arial" w:cs="Arial"/>
                <w:noProof/>
                <w:sz w:val="18"/>
                <w:szCs w:val="18"/>
              </w:rPr>
              <w:t>INTÉRÊTS DES EXPERTS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_Toc226986000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36</w:t>
            </w:r>
            <w:r w:rsidRPr="00681885">
              <w:rPr>
                <w:rFonts w:ascii="Arial" w:hAnsi="Arial" w:cs="Arial"/>
                <w:noProof/>
                <w:webHidden/>
                <w:sz w:val="18"/>
                <w:szCs w:val="18"/>
              </w:rPr>
              <w:fldChar w:fldCharType="end"/>
            </w:r>
          </w:hyperlink>
        </w:p>
        <w:p w14:paraId="4914BC1C" w14:textId="27B9F949"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6001" w:history="1">
            <w:r w:rsidRPr="00681885">
              <w:rPr>
                <w:rStyle w:val="Hyperlink"/>
                <w:rFonts w:ascii="Arial" w:hAnsi="Arial" w:cs="Arial"/>
                <w:noProof/>
                <w:sz w:val="18"/>
                <w:szCs w:val="18"/>
              </w:rPr>
              <w:t>CONTRATS IMPORTANTS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_Toc226986001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36</w:t>
            </w:r>
            <w:r w:rsidRPr="00681885">
              <w:rPr>
                <w:rFonts w:ascii="Arial" w:hAnsi="Arial" w:cs="Arial"/>
                <w:noProof/>
                <w:webHidden/>
                <w:sz w:val="18"/>
                <w:szCs w:val="18"/>
              </w:rPr>
              <w:fldChar w:fldCharType="end"/>
            </w:r>
          </w:hyperlink>
        </w:p>
        <w:p w14:paraId="3B8167F9" w14:textId="3F5820CF"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6002" w:history="1">
            <w:r w:rsidRPr="00681885">
              <w:rPr>
                <w:rStyle w:val="Hyperlink"/>
                <w:rFonts w:ascii="Arial" w:hAnsi="Arial" w:cs="Arial"/>
                <w:noProof/>
                <w:sz w:val="18"/>
                <w:szCs w:val="18"/>
              </w:rPr>
              <w:t>RENSEIGNEMENTS SUPPLÉMENTAIRES</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_Toc226986002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39</w:t>
            </w:r>
            <w:r w:rsidRPr="00681885">
              <w:rPr>
                <w:rFonts w:ascii="Arial" w:hAnsi="Arial" w:cs="Arial"/>
                <w:noProof/>
                <w:webHidden/>
                <w:sz w:val="18"/>
                <w:szCs w:val="18"/>
              </w:rPr>
              <w:fldChar w:fldCharType="end"/>
            </w:r>
          </w:hyperlink>
        </w:p>
        <w:p w14:paraId="6E7E8136" w14:textId="2A50C424" w:rsidR="006D21A2" w:rsidRPr="00681885" w:rsidRDefault="006D21A2">
          <w:pPr>
            <w:pStyle w:val="TOC1"/>
            <w:rPr>
              <w:rFonts w:ascii="Arial" w:eastAsiaTheme="minorEastAsia" w:hAnsi="Arial" w:cs="Arial"/>
              <w:noProof/>
              <w:kern w:val="2"/>
              <w:sz w:val="18"/>
              <w:szCs w:val="18"/>
              <w:lang w:eastAsia="fr-CA"/>
              <w14:ligatures w14:val="standardContextual"/>
            </w:rPr>
          </w:pPr>
          <w:hyperlink w:anchor="_Toc226986003" w:history="1">
            <w:r w:rsidRPr="00681885">
              <w:rPr>
                <w:rStyle w:val="Hyperlink"/>
                <w:rFonts w:ascii="Arial" w:hAnsi="Arial" w:cs="Arial"/>
                <w:noProof/>
                <w:sz w:val="18"/>
                <w:szCs w:val="18"/>
              </w:rPr>
              <w:t>ANNEXE A</w:t>
            </w:r>
            <w:r w:rsidRPr="00681885">
              <w:rPr>
                <w:rFonts w:ascii="Arial" w:hAnsi="Arial" w:cs="Arial"/>
                <w:noProof/>
                <w:webHidden/>
                <w:sz w:val="18"/>
                <w:szCs w:val="18"/>
              </w:rPr>
              <w:tab/>
            </w:r>
            <w:r w:rsidRPr="00681885">
              <w:rPr>
                <w:rFonts w:ascii="Arial" w:hAnsi="Arial" w:cs="Arial"/>
                <w:noProof/>
                <w:webHidden/>
                <w:sz w:val="18"/>
                <w:szCs w:val="18"/>
              </w:rPr>
              <w:fldChar w:fldCharType="begin"/>
            </w:r>
            <w:r w:rsidRPr="00681885">
              <w:rPr>
                <w:rFonts w:ascii="Arial" w:hAnsi="Arial" w:cs="Arial"/>
                <w:noProof/>
                <w:webHidden/>
                <w:sz w:val="18"/>
                <w:szCs w:val="18"/>
              </w:rPr>
              <w:instrText xml:space="preserve"> PAGEREF _Toc226986003 \h </w:instrText>
            </w:r>
            <w:r w:rsidRPr="00681885">
              <w:rPr>
                <w:rFonts w:ascii="Arial" w:hAnsi="Arial" w:cs="Arial"/>
                <w:noProof/>
                <w:webHidden/>
                <w:sz w:val="18"/>
                <w:szCs w:val="18"/>
              </w:rPr>
            </w:r>
            <w:r w:rsidRPr="00681885">
              <w:rPr>
                <w:rFonts w:ascii="Arial" w:hAnsi="Arial" w:cs="Arial"/>
                <w:noProof/>
                <w:webHidden/>
                <w:sz w:val="18"/>
                <w:szCs w:val="18"/>
              </w:rPr>
              <w:fldChar w:fldCharType="separate"/>
            </w:r>
            <w:r w:rsidR="007D4280" w:rsidRPr="00681885">
              <w:rPr>
                <w:rFonts w:ascii="Arial" w:hAnsi="Arial" w:cs="Arial"/>
                <w:noProof/>
                <w:webHidden/>
                <w:sz w:val="18"/>
                <w:szCs w:val="18"/>
              </w:rPr>
              <w:t>40</w:t>
            </w:r>
            <w:r w:rsidRPr="00681885">
              <w:rPr>
                <w:rFonts w:ascii="Arial" w:hAnsi="Arial" w:cs="Arial"/>
                <w:noProof/>
                <w:webHidden/>
                <w:sz w:val="18"/>
                <w:szCs w:val="18"/>
              </w:rPr>
              <w:fldChar w:fldCharType="end"/>
            </w:r>
          </w:hyperlink>
        </w:p>
        <w:p w14:paraId="1D9413E0" w14:textId="062FF8F2" w:rsidR="00695197" w:rsidRPr="007D4280" w:rsidRDefault="00152032" w:rsidP="00E72EC2">
          <w:pPr>
            <w:rPr>
              <w:rFonts w:ascii="Arial" w:hAnsi="Arial" w:cs="Arial"/>
              <w:sz w:val="18"/>
            </w:rPr>
            <w:sectPr w:rsidR="00695197" w:rsidRPr="007D4280" w:rsidSect="00BD7E95">
              <w:headerReference w:type="default" r:id="rId13"/>
              <w:footerReference w:type="default" r:id="rId14"/>
              <w:pgSz w:w="12240" w:h="15840"/>
              <w:pgMar w:top="1152" w:right="1440" w:bottom="864" w:left="1440" w:header="270" w:footer="270" w:gutter="0"/>
              <w:cols w:space="708"/>
              <w:docGrid w:linePitch="326"/>
            </w:sectPr>
          </w:pPr>
          <w:r w:rsidRPr="007D4280">
            <w:rPr>
              <w:rFonts w:ascii="Arial" w:hAnsi="Arial" w:cs="Arial"/>
              <w:b/>
              <w:sz w:val="18"/>
            </w:rPr>
            <w:fldChar w:fldCharType="end"/>
          </w:r>
        </w:p>
      </w:sdtContent>
    </w:sdt>
    <w:p w14:paraId="54CB3C7C" w14:textId="77777777" w:rsidR="00695197" w:rsidRPr="007D4280" w:rsidRDefault="00152032" w:rsidP="00E72EC2">
      <w:pPr>
        <w:spacing w:line="300" w:lineRule="auto"/>
        <w:jc w:val="center"/>
        <w:rPr>
          <w:rFonts w:ascii="Arial" w:eastAsia="Arial" w:hAnsi="Arial" w:cs="Arial"/>
          <w:b/>
          <w:bCs/>
          <w:sz w:val="18"/>
          <w:szCs w:val="18"/>
        </w:rPr>
      </w:pPr>
      <w:bookmarkStart w:id="1" w:name="Section3"/>
      <w:bookmarkEnd w:id="1"/>
      <w:r w:rsidRPr="007D4280">
        <w:rPr>
          <w:rFonts w:ascii="Arial" w:hAnsi="Arial"/>
          <w:b/>
          <w:sz w:val="18"/>
        </w:rPr>
        <w:t>LES ALIMENTS MAPLE LEAF INC.</w:t>
      </w:r>
    </w:p>
    <w:p w14:paraId="13DC3F29" w14:textId="77777777" w:rsidR="00695197" w:rsidRPr="007D4280" w:rsidRDefault="00152032" w:rsidP="00E72EC2">
      <w:pPr>
        <w:spacing w:after="120" w:line="300" w:lineRule="auto"/>
        <w:jc w:val="center"/>
        <w:rPr>
          <w:rFonts w:ascii="Arial" w:eastAsia="Arial" w:hAnsi="Arial" w:cs="Arial"/>
          <w:sz w:val="18"/>
        </w:rPr>
      </w:pPr>
      <w:r w:rsidRPr="007D4280">
        <w:rPr>
          <w:rFonts w:ascii="Arial" w:hAnsi="Arial"/>
          <w:b/>
          <w:sz w:val="18"/>
        </w:rPr>
        <w:t>NOTICE ANNUELLE</w:t>
      </w:r>
    </w:p>
    <w:p w14:paraId="036FC0C5" w14:textId="21F362B1" w:rsidR="00695197" w:rsidRPr="007D4280" w:rsidRDefault="00152032" w:rsidP="003873F7">
      <w:pPr>
        <w:pStyle w:val="BodyText"/>
        <w:spacing w:line="300" w:lineRule="auto"/>
      </w:pPr>
      <w:r w:rsidRPr="007D4280">
        <w:t>Sauf indication contraire, l’information contenue dans la présente notice annuelle est arrêtée au 31 décembre 2025 et tous les montants sont en dollars canadiens. Sauf si le contexte l’indique autrement, « les Aliments Maple Leaf » ou « la Société » désigne Les Aliments Maple Leaf Inc. et ses filiales consolidées.</w:t>
      </w:r>
    </w:p>
    <w:p w14:paraId="43128D0F" w14:textId="4140DACF" w:rsidR="003A0710" w:rsidRPr="007D4280" w:rsidRDefault="00152032" w:rsidP="00E72EC2">
      <w:pPr>
        <w:pStyle w:val="AIF-Level1"/>
        <w:outlineLvl w:val="0"/>
      </w:pPr>
      <w:bookmarkStart w:id="2" w:name="_Toc226985966"/>
      <w:bookmarkStart w:id="3" w:name="_Hlk219843716"/>
      <w:r w:rsidRPr="007D4280">
        <w:t>ÉNONCÉS PROSPECTIFS</w:t>
      </w:r>
      <w:bookmarkEnd w:id="2"/>
      <w:r w:rsidRPr="007D4280">
        <w:t xml:space="preserve"> </w:t>
      </w:r>
    </w:p>
    <w:p w14:paraId="781A6D22" w14:textId="55AAF944" w:rsidR="00290B6D" w:rsidRPr="007D4280" w:rsidRDefault="00290B6D" w:rsidP="00BD7E95">
      <w:pPr>
        <w:spacing w:before="90" w:after="120" w:line="288" w:lineRule="auto"/>
        <w:rPr>
          <w:rFonts w:ascii="Arial" w:eastAsia="Arial" w:hAnsi="Arial"/>
          <w:color w:val="000000"/>
          <w:sz w:val="18"/>
          <w:shd w:val="clear" w:color="auto" w:fill="FFFFFF"/>
        </w:rPr>
      </w:pPr>
      <w:r w:rsidRPr="007D4280">
        <w:rPr>
          <w:rFonts w:ascii="Arial" w:hAnsi="Arial"/>
          <w:color w:val="000000"/>
          <w:sz w:val="18"/>
          <w:shd w:val="clear" w:color="auto" w:fill="FFFFFF"/>
        </w:rPr>
        <w:t>Le présent document ainsi que les communications publiques verbales ou écrites de la Société contiennent souvent des « énoncés prospectifs », au sens de la loi sur les valeurs mobilières applicable. Ces énoncés reposent sur les attentes actuelles, les estimations, les projections, les opinions, les jugements et les hypothèses fondés sur l’information disponible au moment où l’énoncé prospectif a été formulé et faits à la lumière de l’expérience de la Société et de sa perception des tendances historiques. Ces énoncés comprennent notamment des énoncés sur les buts de la Société ainsi que des énoncés liés aux opinions, plans, objectifs, attentes, anticipations, estimations et intentions de la Société. Souvent, mais pas toujours, les énoncés prospectifs se reconnaissent par des mots comme « anticiper », « poursuivre », « estimer », « s’attendre », « peut », « fera », « projeter », « devrait », « pourrait », « croire », « planifier », « avoir l’intention de », « concevoir », « cibler », « entreprendre », « voir », « indiquer », « maintenir », « explorer », « entraîner », « échéancier », « objectif », « stratégie », « probable », « potentiel », « perspectives », « viser », « proposer », « but », ainsi que par les variantes positives ou négatives de ces mots ou d’expressions similaires suggérant des événements ou des rendements futurs. Ces énoncés ne constituent pas des garanties de rendement futur et concernent des hypothèses, des risques et des incertitudes difficiles à prévoir.</w:t>
      </w:r>
    </w:p>
    <w:p w14:paraId="0FAB2C0D" w14:textId="2209096E" w:rsidR="00290B6D" w:rsidRPr="007D4280" w:rsidRDefault="00290B6D" w:rsidP="00BD7E95">
      <w:pPr>
        <w:spacing w:before="90" w:after="120" w:line="288" w:lineRule="auto"/>
        <w:rPr>
          <w:rFonts w:ascii="Arial" w:eastAsia="Arial" w:hAnsi="Arial"/>
          <w:color w:val="000000"/>
          <w:sz w:val="18"/>
          <w:shd w:val="clear" w:color="auto" w:fill="FFFFFF"/>
        </w:rPr>
      </w:pPr>
      <w:r w:rsidRPr="007D4280">
        <w:rPr>
          <w:rFonts w:ascii="Arial" w:hAnsi="Arial"/>
          <w:color w:val="000000"/>
          <w:sz w:val="18"/>
          <w:shd w:val="clear" w:color="auto" w:fill="FFFFFF"/>
        </w:rPr>
        <w:t>De par leur nature, les énoncés prospectifs sont exposés à un certain nombre de risques et d’incertitudes ainsi qu’à d’autres facteurs, connus et inconnus, qui pourraient causer un écart significatif entre les résultats réels et ces énoncés prospectifs. La Société est d’avis que les attentes présentées dans les énoncés prospectifs sont raisonnables, mais elle ne peut donner aucune assurance quant à leur exactitude.</w:t>
      </w:r>
    </w:p>
    <w:p w14:paraId="34C5A99E" w14:textId="4EB0E34A" w:rsidR="00290B6D" w:rsidRPr="007D4280" w:rsidRDefault="00290B6D" w:rsidP="00724ED9">
      <w:pPr>
        <w:spacing w:before="90" w:after="120" w:line="288" w:lineRule="auto"/>
        <w:rPr>
          <w:rFonts w:ascii="Arial" w:eastAsia="Arial" w:hAnsi="Arial"/>
          <w:color w:val="000000"/>
          <w:sz w:val="18"/>
          <w:shd w:val="clear" w:color="auto" w:fill="FFFFFF"/>
        </w:rPr>
      </w:pPr>
      <w:r w:rsidRPr="007D4280">
        <w:rPr>
          <w:rFonts w:ascii="Arial" w:hAnsi="Arial"/>
          <w:color w:val="000000"/>
          <w:sz w:val="18"/>
          <w:shd w:val="clear" w:color="auto" w:fill="FFFFFF"/>
        </w:rPr>
        <w:t xml:space="preserve">Dans le présent document, les énoncés prospectifs peuvent porter sur ce qui suit : </w:t>
      </w:r>
    </w:p>
    <w:p w14:paraId="3F5C30BE" w14:textId="3FE4B676" w:rsidR="00D81196" w:rsidRPr="007D4280" w:rsidRDefault="00D81196"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résultats opérationnels et financiers attendus des secteurs de la volaille et des aliments préparés de la Société à la suite de la scission de ses activités porcines (la « Scission »), y compris la structure commerciale, les processus et la dynamique après la séparation, ainsi que la mise en œuvre des conventions relatives à l’opération conclues entre la Société et Canada Packers Inc. (« Canada Packers »);</w:t>
      </w:r>
    </w:p>
    <w:p w14:paraId="0A5F55C8" w14:textId="21F2B41D"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degré de dépendance envers Canada Packers à titre de principal fournisseur de porc pour son segment des aliments préparés;</w:t>
      </w:r>
    </w:p>
    <w:p w14:paraId="066A8378" w14:textId="29ED7D7F"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capacité de la Société à tirer parti des avantages et des gains d’efficacité escomptés de la Scission;</w:t>
      </w:r>
    </w:p>
    <w:p w14:paraId="3F4253B5" w14:textId="70378D78"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capacité de la Société à gérer une concentration accrue de ses activités et une diversification réduite;</w:t>
      </w:r>
    </w:p>
    <w:p w14:paraId="6E921AAC" w14:textId="30823AB7"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calendrier et l’impact des mesures de restructuration opérationnelle et de réduction des coûts;</w:t>
      </w:r>
    </w:p>
    <w:p w14:paraId="7616231B" w14:textId="551B989B"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perspectives de la Société concernant ses activités, son chiffre d’affaires et ses résultats, ainsi que les facteurs susceptibles de les influencer;</w:t>
      </w:r>
    </w:p>
    <w:p w14:paraId="4A4DAEEE" w14:textId="37303528"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attentes relatives au contexte économique, y compris les conséquences des droits de douane, les pressions inflationnistes sur le comportement des clients et des consommateurs, les chaînes d’approvisionnement, les conflits internationaux et la dynamique concurrentielle;</w:t>
      </w:r>
    </w:p>
    <w:p w14:paraId="213CBE80" w14:textId="275DB7B9"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flux de trésorerie prévus et le caractère suffisant de ceux-ci, les sources de capital offrant des taux attrayants, les obligations contractuelles et les options de financement futures, le renouvellement des facilités de crédit, le respect des clauses des facilités de crédit et la disponibilité du capital requis pour financer les plans de croissance, le respect des obligations d’exploitation et le versement des dividendes;</w:t>
      </w:r>
    </w:p>
    <w:p w14:paraId="3264E667" w14:textId="1D46105C"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rendement futur, y compris les objectifs financiers, les analyses de croissance des catégories, les dépenses prévues en immobilisations de même que les dépenses de ventes et d’administration prévues pour la Société et chacun de ses segments d’exploitation, les marchés du travail et les pressions inflationnistes (y compris la capacité de la Société de fixer ses prix en fonction de l’inflation);</w:t>
      </w:r>
    </w:p>
    <w:p w14:paraId="63E7D635" w14:textId="36A7E138"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r w:rsidRPr="007D4280">
        <w:rPr>
          <w:color w:val="000000"/>
          <w:sz w:val="18"/>
          <w:shd w:val="clear" w:color="auto" w:fill="FFFFFF"/>
        </w:rPr>
        <w:t>l’exécution de la stratégie commerciale de la Société, y compris l’élaboration et le calendrier prévu des initiatives commerciales, l’expansion et le repositionnement de la marque, l’innovation, le rendement des catégories, les décisions relatives à la répartition des capitaux propres (y compris les investissements dans les rachats d’actions en vertu d’une offre publique de rachat dans le cours normal des activités [OPRCNA]), de même que les investissements dans les occasions de croissance et les rendements prévus qui y sont associés;</w:t>
      </w:r>
    </w:p>
    <w:p w14:paraId="50119275" w14:textId="6936D46E"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l’incidence</w:t>
      </w:r>
      <w:proofErr w:type="gramEnd"/>
      <w:r w:rsidRPr="007D4280">
        <w:rPr>
          <w:color w:val="000000"/>
          <w:sz w:val="18"/>
          <w:shd w:val="clear" w:color="auto" w:fill="FFFFFF"/>
        </w:rPr>
        <w:t xml:space="preserve"> du contexte des échanges internationaux, des droits de douane et des marchés sur les activités de la Société, y compris l’accès aux marchés, les conflits internationaux et autres facteurs sociaux, économiques et politiques influant sur le commerce;</w:t>
      </w:r>
    </w:p>
    <w:p w14:paraId="4D2C7F39" w14:textId="7ECF84BB"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conséquences liées à la propagation des maladies animales;</w:t>
      </w:r>
    </w:p>
    <w:p w14:paraId="3F199D0D" w14:textId="4B83EBFC"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régimes de concurrence et la capacité de la Société de se tailler une place sur les marchés;</w:t>
      </w:r>
    </w:p>
    <w:p w14:paraId="54AAD26A" w14:textId="061C5D12"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projets d’immobilisations potentiels, y compris la planification, la construction, les dépenses estimées, les calendriers, les autorisations et les avantages escomptés;</w:t>
      </w:r>
    </w:p>
    <w:p w14:paraId="38570C6B" w14:textId="149C7B24"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politique de la Société en matière de dividendes, y compris les niveaux futurs et la viabilité des dividendes en espèces, le traitement fiscal et les dates de versement; </w:t>
      </w:r>
    </w:p>
    <w:p w14:paraId="7E842B86" w14:textId="50E62E92"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l’incidence</w:t>
      </w:r>
      <w:proofErr w:type="gramEnd"/>
      <w:r w:rsidRPr="007D4280">
        <w:rPr>
          <w:color w:val="000000"/>
          <w:sz w:val="18"/>
          <w:shd w:val="clear" w:color="auto" w:fill="FFFFFF"/>
        </w:rPr>
        <w:t xml:space="preserve"> des prix des produits de base et des cours de change sur les activités et le rendement financier de la Société, y compris l’utilisation et l’efficacité des instruments de couverture;</w:t>
      </w:r>
    </w:p>
    <w:p w14:paraId="2F86BEE6" w14:textId="4FC2FAF8"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risques d’exploitation, y compris l’exécution, la surveillance et l’amélioration continue des programmes de salubrité alimentaire, des initiatives de santé animale et des initiatives de réduction des coûts, de même que les niveaux de service (y compris les pénalités attendues qui s’y rapportent);</w:t>
      </w:r>
    </w:p>
    <w:p w14:paraId="5F5643E9" w14:textId="1A526ADB"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mise en œuvre, le coût et l’incidence des initiatives de protection de l’environnement, la capacité de la Société de réaliser ses objectifs en matière de durabilité, l’évolution des lois et des règlements relatifs aux changements climatiques et à l’environnement, la progression des attentes des clients et des consommateurs relativement au développement durable ainsi que le coût prévu de la réduction du passif environnemental;</w:t>
      </w:r>
    </w:p>
    <w:p w14:paraId="0B7830FE" w14:textId="14561E80" w:rsidR="003505C3" w:rsidRPr="007D4280" w:rsidRDefault="003505C3" w:rsidP="00724ED9">
      <w:pPr>
        <w:pStyle w:val="ListParagraph"/>
        <w:numPr>
          <w:ilvl w:val="0"/>
          <w:numId w:val="26"/>
        </w:numPr>
        <w:spacing w:before="90" w:after="120" w:line="288" w:lineRule="auto"/>
        <w:ind w:left="720"/>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attentes relatives au rendement du régime de retraite, y compris les actifs et passifs futurs du régime ainsi que les cotisations;</w:t>
      </w:r>
    </w:p>
    <w:p w14:paraId="1CFC309B" w14:textId="2DE5B004" w:rsidR="003505C3" w:rsidRPr="007D4280" w:rsidRDefault="003505C3" w:rsidP="00724ED9">
      <w:pPr>
        <w:pStyle w:val="ListParagraph"/>
        <w:numPr>
          <w:ilvl w:val="0"/>
          <w:numId w:val="26"/>
        </w:numPr>
        <w:spacing w:before="90" w:after="120" w:line="288" w:lineRule="auto"/>
        <w:ind w:left="720"/>
        <w:rPr>
          <w:rFonts w:eastAsia="Arial"/>
          <w:b/>
          <w:bCs/>
          <w:color w:val="000000"/>
          <w:sz w:val="18"/>
          <w:shd w:val="clear" w:color="auto" w:fill="FFFFFF"/>
        </w:rPr>
      </w:pPr>
      <w:proofErr w:type="gramStart"/>
      <w:r w:rsidRPr="007D4280">
        <w:rPr>
          <w:color w:val="000000"/>
          <w:sz w:val="18"/>
          <w:shd w:val="clear" w:color="auto" w:fill="FFFFFF"/>
        </w:rPr>
        <w:t>l’évolution</w:t>
      </w:r>
      <w:proofErr w:type="gramEnd"/>
      <w:r w:rsidRPr="007D4280">
        <w:rPr>
          <w:color w:val="000000"/>
          <w:sz w:val="18"/>
          <w:shd w:val="clear" w:color="auto" w:fill="FFFFFF"/>
        </w:rPr>
        <w:t xml:space="preserve"> et les conséquences des poursuites judiciaires réelles ou potentielles.</w:t>
      </w:r>
    </w:p>
    <w:p w14:paraId="11E163DB" w14:textId="77777777" w:rsidR="003505C3" w:rsidRPr="007D4280" w:rsidRDefault="003505C3" w:rsidP="003505C3">
      <w:pPr>
        <w:spacing w:before="90" w:after="120" w:line="288" w:lineRule="auto"/>
        <w:rPr>
          <w:rFonts w:ascii="Arial" w:eastAsia="Arial" w:hAnsi="Arial"/>
          <w:color w:val="000000"/>
          <w:sz w:val="18"/>
          <w:shd w:val="clear" w:color="auto" w:fill="FFFFFF"/>
        </w:rPr>
      </w:pPr>
      <w:r w:rsidRPr="007D4280">
        <w:rPr>
          <w:rFonts w:ascii="Arial" w:hAnsi="Arial"/>
          <w:color w:val="000000"/>
          <w:sz w:val="18"/>
          <w:shd w:val="clear" w:color="auto" w:fill="FFFFFF"/>
        </w:rPr>
        <w:t xml:space="preserve">La Société tient habituellement compte de divers facteurs ou hypothèses pour tirer ses conclusions ou formuler les prévisions, projections, prédictions ou estimations contenues dans ses énoncés prospectifs. Ces facteurs et hypothèses sont fondés sur l’information dont dispose actuellement la Société, y compris l’information obtenue auprès de sources externes, et comprennent, entre autres : </w:t>
      </w:r>
    </w:p>
    <w:p w14:paraId="0EC08F38" w14:textId="1B6F001F"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avantages et les répercussions de la Scission, y compris les risques, les coûts, les pertes de synergies et les conséquences fiscales; </w:t>
      </w:r>
    </w:p>
    <w:p w14:paraId="0C4315D6" w14:textId="1C502D3C"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respect, par les Aliments Maple Leaf, Canada Packers et les « actionnaires désignés », tels que définis dans la </w:t>
      </w:r>
      <w:r w:rsidRPr="007D4280">
        <w:rPr>
          <w:i/>
          <w:iCs/>
          <w:color w:val="000000"/>
          <w:sz w:val="18"/>
          <w:shd w:val="clear" w:color="auto" w:fill="FFFFFF"/>
        </w:rPr>
        <w:t>Loi de l’impôt sur le revenu</w:t>
      </w:r>
      <w:r w:rsidRPr="007D4280">
        <w:rPr>
          <w:color w:val="000000"/>
          <w:sz w:val="18"/>
          <w:shd w:val="clear" w:color="auto" w:fill="FFFFFF"/>
        </w:rPr>
        <w:t xml:space="preserve"> (« LIR »), des règles relatives aux transactions papillons prévues par la LIR, tant avant qu’après la réalisation de la Scission;</w:t>
      </w:r>
    </w:p>
    <w:p w14:paraId="04A978F4" w14:textId="106017AF"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capacité de Canada Packers à satisfaire la demande de la Société en porc pour son segment des aliments préparés, y compris le porc, qui répond aux exigences et aux revendications de la Société en matière de durabilité;</w:t>
      </w:r>
    </w:p>
    <w:p w14:paraId="7491E3AE" w14:textId="2D152BE4"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attentes concernant l’adaptation des opérations, la chaîne d’approvisionnement, le comportement des clients et des consommateurs, les structures économiques, les taux de change, les droits de douane, la dynamique du commerce international, l’accès au capital et des transformations potentielles des structures économiques mondiales;</w:t>
      </w:r>
    </w:p>
    <w:p w14:paraId="1BD88F83" w14:textId="2627BEAA"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l’environnement</w:t>
      </w:r>
      <w:proofErr w:type="gramEnd"/>
      <w:r w:rsidRPr="007D4280">
        <w:rPr>
          <w:color w:val="000000"/>
          <w:sz w:val="18"/>
          <w:shd w:val="clear" w:color="auto" w:fill="FFFFFF"/>
        </w:rPr>
        <w:t xml:space="preserve"> concurrentiel ainsi que les conditions de marché connexes (dont les droits de douane) et la mesure des parts de marché, la croissance ou la contraction des catégories, le comportement attendu des concurrents et des clients et les tendances en matière de préférences des consommateurs;</w:t>
      </w:r>
    </w:p>
    <w:p w14:paraId="5E064D75" w14:textId="562ED42F"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succès de la stratégie commerciale de la Société et la relation entre les prix, l’inflation, les volumes et les ventes des produits de la Société;</w:t>
      </w:r>
    </w:p>
    <w:p w14:paraId="32D67C8A" w14:textId="3692897D"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prix courants des matières premières, les répercussions des droits de douane, les taux d’intérêt, les taux d’imposition et les taux de change;</w:t>
      </w:r>
    </w:p>
    <w:p w14:paraId="69747759" w14:textId="206365C5"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conséquences des enjeux de cybersécurité, y compris les coûts de la sécurité, la possibilité d’un incident futur, les risques associés aux atteintes à la protection des données, la disponibilité des protections d’assurance, l’efficacité des mesures de correction et de prévention, les activités des tiers, les répercussions persistantes, les réactions des clients, des consommateurs et des fournisseurs et les facteurs liés à la réglementation;</w:t>
      </w:r>
    </w:p>
    <w:p w14:paraId="34137A88" w14:textId="74D61902"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conditions géopolitiques et la capacité de la Société à accéder aux marchés et à s’approvisionner en ingrédients et en d’autres intrants compte tenu des perturbations sociopolitiques mondiales, ainsi que l’incidence continue des conflits mondiaux sur l’inflation, le commerce et les marchés;</w:t>
      </w:r>
    </w:p>
    <w:p w14:paraId="6A508E24" w14:textId="58645674"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l’ampleur</w:t>
      </w:r>
      <w:proofErr w:type="gramEnd"/>
      <w:r w:rsidRPr="007D4280">
        <w:rPr>
          <w:color w:val="000000"/>
          <w:sz w:val="18"/>
          <w:shd w:val="clear" w:color="auto" w:fill="FFFFFF"/>
        </w:rPr>
        <w:t xml:space="preserve"> des épidémies potentielles ou de la propagation des maladies animales, ainsi que leurs répercussions sur l’ensemble des marchés des protéines; </w:t>
      </w:r>
    </w:p>
    <w:p w14:paraId="2F69FA02" w14:textId="35C9C084"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l’accès</w:t>
      </w:r>
      <w:proofErr w:type="gramEnd"/>
      <w:r w:rsidRPr="007D4280">
        <w:rPr>
          <w:color w:val="000000"/>
          <w:sz w:val="18"/>
          <w:shd w:val="clear" w:color="auto" w:fill="FFFFFF"/>
        </w:rPr>
        <w:t xml:space="preserve"> au capital nécessaire pour financer les besoins en capitaux futurs et les activités courantes;</w:t>
      </w:r>
    </w:p>
    <w:p w14:paraId="0FA8ED08" w14:textId="515C31FB"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attentes relatives à la participation aux régimes de retraite de la Société et au financement de ceux-ci;</w:t>
      </w:r>
    </w:p>
    <w:p w14:paraId="5E99F843" w14:textId="41904EF9"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disponibilité des protections d’assurance pour gérer certains risques liés aux responsabilités de la Société; </w:t>
      </w:r>
    </w:p>
    <w:p w14:paraId="53D6108F" w14:textId="649D0197"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l’importance</w:t>
      </w:r>
      <w:proofErr w:type="gramEnd"/>
      <w:r w:rsidRPr="007D4280">
        <w:rPr>
          <w:color w:val="000000"/>
          <w:sz w:val="18"/>
          <w:shd w:val="clear" w:color="auto" w:fill="FFFFFF"/>
        </w:rPr>
        <w:t xml:space="preserve"> des dettes futures et des recouvrements liés à des réclamations en justice;</w:t>
      </w:r>
    </w:p>
    <w:p w14:paraId="56461F35" w14:textId="659B7319"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lois fiscales, environnementales et de nature réglementaire en vigueur;</w:t>
      </w:r>
    </w:p>
    <w:p w14:paraId="5B280540" w14:textId="19182448" w:rsidR="003505C3" w:rsidRPr="007D4280" w:rsidRDefault="003505C3" w:rsidP="00581BB0">
      <w:pPr>
        <w:pStyle w:val="ListParagraph"/>
        <w:numPr>
          <w:ilvl w:val="0"/>
          <w:numId w:val="28"/>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rendement et les coûts d’exploitation futurs, y compris la capacité de la Société de réaliser des gains d’efficacité et de maintenir ses volumes de vente ainsi que ses taux de rotation des stocks et des comptes débiteurs.</w:t>
      </w:r>
    </w:p>
    <w:p w14:paraId="0C68E423" w14:textId="77777777" w:rsidR="003505C3" w:rsidRPr="007D4280" w:rsidRDefault="00290B6D" w:rsidP="00BD7E95">
      <w:pPr>
        <w:spacing w:before="90" w:after="120" w:line="288" w:lineRule="auto"/>
        <w:rPr>
          <w:rFonts w:ascii="Arial" w:eastAsia="Arial" w:hAnsi="Arial" w:cs="Arial"/>
          <w:color w:val="000000"/>
          <w:sz w:val="18"/>
          <w:shd w:val="clear" w:color="auto" w:fill="FFFFFF"/>
        </w:rPr>
      </w:pPr>
      <w:r w:rsidRPr="007D4280">
        <w:rPr>
          <w:rFonts w:ascii="Arial" w:hAnsi="Arial"/>
          <w:color w:val="000000"/>
          <w:sz w:val="18"/>
          <w:shd w:val="clear" w:color="auto" w:fill="FFFFFF"/>
        </w:rPr>
        <w:t>Les facteurs susceptibles de causer un écart considérable entre les résultats réels et ceux exprimés, sous-entendus ou projetés dans les énoncés prospectifs comprennent, entre autres, les risques associés à ce qui suit :</w:t>
      </w:r>
    </w:p>
    <w:p w14:paraId="65489404" w14:textId="50370AD2"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fait que la Scission ne procure pas à la Société les avantages stratégiques et financiers à long terme escomptés, ainsi que la mesure dans laquelle ces avantages se concrétisent ou non et le moment où ils se concrétisent, y compris les répercussions sur la situation financière, les résultats d’exploitation et les flux de trésorerie de la Société;</w:t>
      </w:r>
    </w:p>
    <w:p w14:paraId="2C63532B" w14:textId="7AB6DEBC"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l’exposition</w:t>
      </w:r>
      <w:proofErr w:type="gramEnd"/>
      <w:r w:rsidRPr="007D4280">
        <w:rPr>
          <w:color w:val="000000"/>
          <w:sz w:val="18"/>
          <w:shd w:val="clear" w:color="auto" w:fill="FFFFFF"/>
        </w:rPr>
        <w:t xml:space="preserve"> continue aux risques liés à l’activité d’élevage porcin et l’incapacité de Canada Packers à fournir à la Société un volume adéquat de porc pour soutenir son segment des aliments préparés, particulièrement le porc qui répond à ses exigences en matière de durabilité et aux revendications pour un produit; </w:t>
      </w:r>
    </w:p>
    <w:p w14:paraId="797A59CE" w14:textId="35E45159"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non-respect des règles sur les transactions papillons prévues par la LIR par la Société, Canada Packers ou un « actionnaire désigné » (au sens de la LIR) qui entraîne un solde d’impôt à payer pour la Société; </w:t>
      </w:r>
    </w:p>
    <w:p w14:paraId="65D43516" w14:textId="11870C8D"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changements structurels potentiels des conditions du marché mondial et de la situation économique qui pourraient </w:t>
      </w:r>
      <w:proofErr w:type="gramStart"/>
      <w:r w:rsidRPr="007D4280">
        <w:rPr>
          <w:color w:val="000000"/>
          <w:sz w:val="18"/>
          <w:shd w:val="clear" w:color="auto" w:fill="FFFFFF"/>
        </w:rPr>
        <w:t>avoir</w:t>
      </w:r>
      <w:proofErr w:type="gramEnd"/>
      <w:r w:rsidRPr="007D4280">
        <w:rPr>
          <w:color w:val="000000"/>
          <w:sz w:val="18"/>
          <w:shd w:val="clear" w:color="auto" w:fill="FFFFFF"/>
        </w:rPr>
        <w:t xml:space="preserve"> des répercussions sur les activités et les résultats financiers de la Société, ainsi que les conséquences continues pour les tendances socioéconomiques à grande échelle, l’instabilité commerciale et les tensions mondiales;</w:t>
      </w:r>
    </w:p>
    <w:p w14:paraId="19057392" w14:textId="30353505"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tendances macroéconomiques, y compris l’inflation, le comportement des consommateurs, les indicateurs de récession, la disponibilité de la main-d’œuvre et la dynamique du marché du travail, ainsi que les tendances du commerce international, dont les tarifs et droits de douane et les marchés mondiaux du porc;</w:t>
      </w:r>
    </w:p>
    <w:p w14:paraId="012F7512" w14:textId="0A590468"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l’évolution</w:t>
      </w:r>
      <w:proofErr w:type="gramEnd"/>
      <w:r w:rsidRPr="007D4280">
        <w:rPr>
          <w:color w:val="000000"/>
          <w:sz w:val="18"/>
          <w:shd w:val="clear" w:color="auto" w:fill="FFFFFF"/>
        </w:rPr>
        <w:t xml:space="preserve"> du commerce international et l’accès aux marchés et aux fournitures, de même que les dynamiques sociales, politiques et économiques, y compris les conflits internationaux;</w:t>
      </w:r>
    </w:p>
    <w:p w14:paraId="14AADC87" w14:textId="448CEC77"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concurrence, les conditions du marché et les activités des concurrents, des clients et des consommateurs, notamment l’expansion ou la contraction des principales catégories de produits, les pressions inflationnistes et la capacité de la Société à fixer ses prix et à s’adapter à l’évolution des tendances de consommation;</w:t>
      </w:r>
    </w:p>
    <w:p w14:paraId="79DAE83B" w14:textId="3A40372B"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prix des produits;</w:t>
      </w:r>
    </w:p>
    <w:p w14:paraId="5E0C05D2" w14:textId="2E577C06"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r w:rsidRPr="007D4280">
        <w:rPr>
          <w:color w:val="000000"/>
          <w:sz w:val="18"/>
          <w:shd w:val="clear" w:color="auto" w:fill="FFFFFF"/>
        </w:rPr>
        <w:t>la cybersécurité, l’entretien et l’exploitation des systèmes d’information, des politiques, des processus et des données de la Société, le rétablissement suivant l’incident de cybersécurité, les répercussions à long terme de cet incident, le risque que d’autres incidents de cybersécurité surviennent, les mesures prises par les tiers, les risques de vol de données, l’efficacité de la conception et de l’exécution du plan de continuité des affaires, et la disponibilité des protections d’assurance;</w:t>
      </w:r>
    </w:p>
    <w:p w14:paraId="0E483E8E" w14:textId="0F0ED928"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l’instabilité</w:t>
      </w:r>
      <w:proofErr w:type="gramEnd"/>
      <w:r w:rsidRPr="007D4280">
        <w:rPr>
          <w:color w:val="000000"/>
          <w:sz w:val="18"/>
          <w:shd w:val="clear" w:color="auto" w:fill="FFFFFF"/>
        </w:rPr>
        <w:t xml:space="preserve"> géopolitique; </w:t>
      </w:r>
    </w:p>
    <w:p w14:paraId="04948B55" w14:textId="44A2BAE6"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l’incapacité</w:t>
      </w:r>
      <w:proofErr w:type="gramEnd"/>
      <w:r w:rsidRPr="007D4280">
        <w:rPr>
          <w:color w:val="000000"/>
          <w:sz w:val="18"/>
          <w:shd w:val="clear" w:color="auto" w:fill="FFFFFF"/>
        </w:rPr>
        <w:t xml:space="preserve"> de la Société à adapter ses activités de manière efficace et satisfaisante pour tenir compte de la production consolidée; </w:t>
      </w:r>
    </w:p>
    <w:p w14:paraId="51B1E2C4" w14:textId="120D0B14"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résultats de l’exécution des plans commerciaux de la Société, sa capacité à générer des profits ou non et le temps nécessaire pour générer ces profits, y compris les conséquences sur ses flux de trésorerie;</w:t>
      </w:r>
    </w:p>
    <w:p w14:paraId="30555D75" w14:textId="5AA4299B"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santé des animaux d’élevage, y compris les effets d’éventuelles pandémies;</w:t>
      </w:r>
    </w:p>
    <w:p w14:paraId="55EF2CB1" w14:textId="7790C5D6"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gestion efficace de la chaîne d’approvisionnement de la Société;</w:t>
      </w:r>
    </w:p>
    <w:p w14:paraId="53925E50" w14:textId="7AC22163"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réductions de coûts et les gains d’efficacité; </w:t>
      </w:r>
    </w:p>
    <w:p w14:paraId="3138FF00" w14:textId="7169830D"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rendement d’exploitation, y compris les niveaux de fonctionnement de la fabrication, les taux d’exécution des commandes et les pénalités; </w:t>
      </w:r>
    </w:p>
    <w:p w14:paraId="729B77F7" w14:textId="386F79DE"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disponibilité et la qualité des ingrédients, y compris les protéines végétales; </w:t>
      </w:r>
    </w:p>
    <w:p w14:paraId="51563E2F" w14:textId="041D6BBE"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disponibilité du capital, l’accès à celui-ci et le respect des clauses des facilités de crédit;</w:t>
      </w:r>
    </w:p>
    <w:p w14:paraId="749C69DD" w14:textId="41D6E643"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fluctuations des marchés des obligations et des actions;</w:t>
      </w:r>
    </w:p>
    <w:p w14:paraId="2F96267E" w14:textId="28C6FEFF"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salubrité alimentaire, la responsabilité des consommateurs et les rappels de produits;</w:t>
      </w:r>
    </w:p>
    <w:p w14:paraId="2E4F7622" w14:textId="50D3B115"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réputation et l’opinion publique;</w:t>
      </w:r>
    </w:p>
    <w:p w14:paraId="3973BF55" w14:textId="2878D87C"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propriété intellectuelle, y compris la création de nouveaux produits, le développement de produits, la stratégie de marque et la protection des marques de commerce; </w:t>
      </w:r>
    </w:p>
    <w:p w14:paraId="287FF693" w14:textId="21EE5CAF"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réalisation des projets d’immobilisations et le déploiement des investissements de maintien;</w:t>
      </w:r>
    </w:p>
    <w:p w14:paraId="50231EF2" w14:textId="14D1856B"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changements climatiques, la réglementation dans ce domaine et le rendement de la Société en matière de durabilité;</w:t>
      </w:r>
    </w:p>
    <w:p w14:paraId="6E6716EF" w14:textId="45E0A666"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gestion des risques stratégiques;</w:t>
      </w:r>
    </w:p>
    <w:p w14:paraId="03E7B3AF" w14:textId="2FEB1259"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décisions concernant le remboursement de capital aux actionnaires;</w:t>
      </w:r>
    </w:p>
    <w:p w14:paraId="6AE4E091" w14:textId="1F79B40E"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volatilité des cours boursiers; </w:t>
      </w:r>
    </w:p>
    <w:p w14:paraId="69880A04" w14:textId="507447D4"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acquisitions et les dessaisissements;</w:t>
      </w:r>
    </w:p>
    <w:p w14:paraId="22F538A9" w14:textId="791F3D8C"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l’actif</w:t>
      </w:r>
      <w:proofErr w:type="gramEnd"/>
      <w:r w:rsidRPr="007D4280">
        <w:rPr>
          <w:color w:val="000000"/>
          <w:sz w:val="18"/>
          <w:shd w:val="clear" w:color="auto" w:fill="FFFFFF"/>
        </w:rPr>
        <w:t xml:space="preserve"> et le passif du régime de retraite;</w:t>
      </w:r>
    </w:p>
    <w:p w14:paraId="348B72E1" w14:textId="32AC0DF4"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l’efficacité</w:t>
      </w:r>
      <w:proofErr w:type="gramEnd"/>
      <w:r w:rsidRPr="007D4280">
        <w:rPr>
          <w:color w:val="000000"/>
          <w:sz w:val="18"/>
          <w:shd w:val="clear" w:color="auto" w:fill="FFFFFF"/>
        </w:rPr>
        <w:t xml:space="preserve"> des stratégies de couverture visant les marchandises et les taux d’intérêt;</w:t>
      </w:r>
    </w:p>
    <w:p w14:paraId="64C2E027" w14:textId="13C57C36"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l’incidence</w:t>
      </w:r>
      <w:proofErr w:type="gramEnd"/>
      <w:r w:rsidRPr="007D4280">
        <w:rPr>
          <w:color w:val="000000"/>
          <w:sz w:val="18"/>
          <w:shd w:val="clear" w:color="auto" w:fill="FFFFFF"/>
        </w:rPr>
        <w:t xml:space="preserve"> des variations de la juste valeur marchande des instruments de couverture;</w:t>
      </w:r>
    </w:p>
    <w:p w14:paraId="231E1DC6" w14:textId="511E5871"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système de gestion de l’offre de volaille au Canada;</w:t>
      </w:r>
    </w:p>
    <w:p w14:paraId="5568F418" w14:textId="477BAACA"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poursuites judiciaires imminentes et en cours;</w:t>
      </w:r>
    </w:p>
    <w:p w14:paraId="36691B47" w14:textId="15EBF910"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recours à des fabricants contractuels;</w:t>
      </w:r>
    </w:p>
    <w:p w14:paraId="79485578" w14:textId="2AFC86D1"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conformité avec la réglementation gouvernementale et l’adaptation aux modifications législatives; </w:t>
      </w:r>
    </w:p>
    <w:p w14:paraId="6703E543" w14:textId="133ED59E"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fluctuations des taux d’intérêt et de change;</w:t>
      </w:r>
    </w:p>
    <w:p w14:paraId="1B7F212C" w14:textId="59589727"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tendances de consommation et la fluctuation des goûts et des habitudes d’achat des consommateurs;</w:t>
      </w:r>
    </w:p>
    <w:p w14:paraId="772842B0" w14:textId="2C1A254D"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réglementation environnementale et les obligations environnementales potentielles;</w:t>
      </w:r>
    </w:p>
    <w:p w14:paraId="5E93527F" w14:textId="5688F40E"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consolidation dans le secteur de la vente au détail;</w:t>
      </w:r>
    </w:p>
    <w:p w14:paraId="54D0B604" w14:textId="61EA70E8"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consolidation des activités et l’accent mis sur les protéines;</w:t>
      </w:r>
    </w:p>
    <w:p w14:paraId="65E39629" w14:textId="32F1282F"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w:t>
      </w:r>
      <w:proofErr w:type="gramEnd"/>
      <w:r w:rsidRPr="007D4280">
        <w:rPr>
          <w:color w:val="000000"/>
          <w:sz w:val="18"/>
          <w:shd w:val="clear" w:color="auto" w:fill="FFFFFF"/>
        </w:rPr>
        <w:t xml:space="preserve"> caractère saisonnier et l’évolution des activités promotionnelles; </w:t>
      </w:r>
    </w:p>
    <w:p w14:paraId="67049382" w14:textId="68B5E3B8"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événements catastrophiques imprévisibles; </w:t>
      </w:r>
    </w:p>
    <w:p w14:paraId="359BE2A8" w14:textId="204BAC63"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conditions météorologiques;</w:t>
      </w:r>
    </w:p>
    <w:p w14:paraId="3853073F" w14:textId="410BE966"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les</w:t>
      </w:r>
      <w:proofErr w:type="gramEnd"/>
      <w:r w:rsidRPr="007D4280">
        <w:rPr>
          <w:color w:val="000000"/>
          <w:sz w:val="18"/>
          <w:shd w:val="clear" w:color="auto" w:fill="FFFFFF"/>
        </w:rPr>
        <w:t xml:space="preserve"> questions liées à l’emploi, y compris la conformité au droit du travail en vigueur dans divers territoires, le risque d’arrêts de travail en raison du non-renouvellement de conventions collectives, le recrutement et la rétention de personnel qualifié, la dépendance à l’égard du personnel clé et la planification de la relève;</w:t>
      </w:r>
    </w:p>
    <w:p w14:paraId="6449C8E9" w14:textId="31E1D163"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santé et la sécurité au travail;</w:t>
      </w:r>
    </w:p>
    <w:p w14:paraId="7DAD885A" w14:textId="30B51B0C" w:rsidR="003505C3" w:rsidRPr="007D4280" w:rsidRDefault="003505C3" w:rsidP="00581BB0">
      <w:pPr>
        <w:pStyle w:val="ListParagraph"/>
        <w:numPr>
          <w:ilvl w:val="0"/>
          <w:numId w:val="29"/>
        </w:numPr>
        <w:spacing w:before="90" w:after="120" w:line="288" w:lineRule="auto"/>
        <w:rPr>
          <w:rFonts w:eastAsia="Arial"/>
          <w:color w:val="000000"/>
          <w:sz w:val="18"/>
          <w:shd w:val="clear" w:color="auto" w:fill="FFFFFF"/>
        </w:rPr>
      </w:pPr>
      <w:proofErr w:type="gramStart"/>
      <w:r w:rsidRPr="007D4280">
        <w:rPr>
          <w:color w:val="000000"/>
          <w:sz w:val="18"/>
          <w:shd w:val="clear" w:color="auto" w:fill="FFFFFF"/>
        </w:rPr>
        <w:t>la</w:t>
      </w:r>
      <w:proofErr w:type="gramEnd"/>
      <w:r w:rsidRPr="007D4280">
        <w:rPr>
          <w:color w:val="000000"/>
          <w:sz w:val="18"/>
          <w:shd w:val="clear" w:color="auto" w:fill="FFFFFF"/>
        </w:rPr>
        <w:t xml:space="preserve"> modification des Normes internationales d’information financière et des autres normes comptables que la Société est tenue de respecter à des fins réglementaires.</w:t>
      </w:r>
    </w:p>
    <w:p w14:paraId="19F0B471" w14:textId="5EBD11E2" w:rsidR="00104BA7" w:rsidRPr="007D4280" w:rsidRDefault="00104BA7" w:rsidP="00BD7E95">
      <w:pPr>
        <w:pStyle w:val="BodyText"/>
        <w:spacing w:line="300" w:lineRule="auto"/>
      </w:pPr>
      <w:r w:rsidRPr="007D4280">
        <w:t xml:space="preserve">De plus, le lecteur est prévenu que certains énoncés prospectifs, comme ceux qui concernent les dépenses futures en immobilisations, les attentes de croissance des revenus et la capacité de la Société à atteindre ses cibles et prévisions financières peuvent être considérés comme des perspectives financières en vertu des lois sur les valeurs mobilières applicables. Nos perspectives financières sont présentées aux fins de l’évaluation des gains futurs potentiels et de l’utilisation prévue des flux de trésorerie et peuvent ne pas convenir à d’autres fins. Le lecteur ne doit pas partir du principe que les perspectives financières de la Société se concrétiseront. </w:t>
      </w:r>
    </w:p>
    <w:p w14:paraId="5B3B7F34" w14:textId="0BBAED53" w:rsidR="00104BA7" w:rsidRPr="007D4280" w:rsidRDefault="00104BA7" w:rsidP="00104BA7">
      <w:pPr>
        <w:pStyle w:val="BodyText"/>
        <w:spacing w:line="300" w:lineRule="auto"/>
      </w:pPr>
      <w:r w:rsidRPr="007D4280">
        <w:t xml:space="preserve">De nombreux facteurs pourraient faire en sorte que nos résultats, notre rendement, nos réalisations ou les événements et développements futurs réels diffèrent sensiblement de ceux exprimés ou sous-entendus dans les énoncés prospectifs contenus dans le présent document, y compris, sans s’y limiter, les facteurs mentionnés sous la rubrique « Facteurs de risque » dans le rapport de gestion de la Société pour l’exercice clos le 31 décembre 2025, disponible sur le profil de la Société sur le Système électronique de données, d’analyse et de recherche (« SEDAR+ ») au </w:t>
      </w:r>
      <w:hyperlink r:id="rId15" w:history="1">
        <w:r w:rsidRPr="007D4280">
          <w:rPr>
            <w:rStyle w:val="Hyperlink"/>
          </w:rPr>
          <w:t>www.sedarplus.ca</w:t>
        </w:r>
      </w:hyperlink>
      <w:r w:rsidRPr="007D4280">
        <w:t xml:space="preserve"> (le « rapport de gestion annuel de 2025 »). Le lecteur devrait examiner ces rubriques avec attention. </w:t>
      </w:r>
    </w:p>
    <w:p w14:paraId="7B7A46D5" w14:textId="18AC3D8B" w:rsidR="00C2173F" w:rsidRPr="007D4280" w:rsidRDefault="00104BA7" w:rsidP="00104BA7">
      <w:pPr>
        <w:pStyle w:val="BodyText"/>
        <w:spacing w:line="300" w:lineRule="auto"/>
        <w:rPr>
          <w:b/>
        </w:rPr>
      </w:pPr>
      <w:r w:rsidRPr="007D4280">
        <w:t>La Société tient à souligner que la liste ci-dessus des facteurs de risque et des incertitudes n’est pas exhaustive et que d’autres facteurs pourraient également avoir une incidence négative sur ses résultats. La Société évolue dans un environnement hautement concurrentiel et en constante évolution, où de nouveaux risques apparaissent fréquemment. La direction n’est pas en mesure de prévoir tous les risques, ni d’évaluer l’impact de tous les facteurs de risque sur nos activités, ni de déterminer dans quelle mesure un facteur donné, ou une combinaison de facteurs, pourrait entraîner un écart significatif entre les résultats réels et ceux indiqués dans les énoncés prospectifs. Le lecteur est prié d’examiner attentivement les risques, les incertitudes et les hypothèses lorsqu’il évalue l’information prospective et est mis en garde de ne pas se fier indûment à ces renseignements. L’information prospective contenue dans le présent document reflète les prévisions de la direction à la date du présent document (ou à la date à laquelle elles sont expressément indiquées) et est susceptible d’évoluer après cette date. Les Aliments Maple Leaf décline toute intention, toute obligation ou tout engagement de mettre à jour ou de réviser toute information prospective, qu’elle soit écrite ou orale, à la suite de nouvelles informations, d’événements futurs ou pour toute autre raison, sauf si les lois sur les valeurs mobilières applicables l’exigent.</w:t>
      </w:r>
    </w:p>
    <w:p w14:paraId="1E9CB85B" w14:textId="2552FB2A" w:rsidR="00695197" w:rsidRPr="007D4280" w:rsidRDefault="00152032" w:rsidP="00E72EC2">
      <w:pPr>
        <w:pStyle w:val="AIF-Level1"/>
        <w:outlineLvl w:val="0"/>
      </w:pPr>
      <w:bookmarkStart w:id="4" w:name="_Toc226985967"/>
      <w:bookmarkEnd w:id="3"/>
      <w:r w:rsidRPr="007D4280">
        <w:t>STRUCTURE DE LA SOCIÉTÉ</w:t>
      </w:r>
      <w:bookmarkEnd w:id="4"/>
    </w:p>
    <w:p w14:paraId="22FAA2B0" w14:textId="585CB32C" w:rsidR="00CB015B" w:rsidRPr="007D4280" w:rsidRDefault="00152032" w:rsidP="00E72EC2">
      <w:pPr>
        <w:spacing w:after="120" w:line="300" w:lineRule="auto"/>
      </w:pPr>
      <w:r w:rsidRPr="007D4280">
        <w:rPr>
          <w:rFonts w:ascii="Arial" w:hAnsi="Arial"/>
          <w:sz w:val="18"/>
        </w:rPr>
        <w:t xml:space="preserve">Les Aliments Maple Leaf Inc. (Maple Leaf Foods Inc.) est une société ouverte constituée en vertu de la </w:t>
      </w:r>
      <w:r w:rsidRPr="007D4280">
        <w:rPr>
          <w:rFonts w:ascii="Arial" w:hAnsi="Arial"/>
          <w:i/>
          <w:sz w:val="18"/>
        </w:rPr>
        <w:t>Loi canadienne sur les sociétés par actions</w:t>
      </w:r>
      <w:r w:rsidRPr="007D4280">
        <w:rPr>
          <w:rFonts w:ascii="Arial" w:hAnsi="Arial"/>
          <w:sz w:val="18"/>
        </w:rPr>
        <w:t xml:space="preserve">. Les actions ordinaires de la Société sont inscrites à la cote de la Bourse de Toronto (TSX) sous le symbole « MFI » et son siège social est situé au </w:t>
      </w:r>
      <w:bookmarkStart w:id="5" w:name="_Hlk95819140"/>
      <w:r w:rsidRPr="007D4280">
        <w:rPr>
          <w:rFonts w:ascii="Arial" w:hAnsi="Arial"/>
          <w:sz w:val="18"/>
        </w:rPr>
        <w:t>6897 Financial Drive, Mississauga (</w:t>
      </w:r>
      <w:proofErr w:type="gramStart"/>
      <w:r w:rsidRPr="007D4280">
        <w:rPr>
          <w:rFonts w:ascii="Arial" w:hAnsi="Arial"/>
          <w:sz w:val="18"/>
        </w:rPr>
        <w:t>Ontario)  L</w:t>
      </w:r>
      <w:proofErr w:type="gramEnd"/>
      <w:r w:rsidRPr="007D4280">
        <w:rPr>
          <w:rFonts w:ascii="Arial" w:hAnsi="Arial"/>
          <w:sz w:val="18"/>
        </w:rPr>
        <w:t>5N 0A8</w:t>
      </w:r>
      <w:bookmarkEnd w:id="5"/>
      <w:r w:rsidRPr="007D4280">
        <w:rPr>
          <w:rFonts w:ascii="Arial" w:hAnsi="Arial"/>
          <w:sz w:val="18"/>
        </w:rPr>
        <w:t xml:space="preserve">. Une copie des documents constitutifs de la Société, y compris ses articles et son règlement administratif, est accessible sur SEDAR au </w:t>
      </w:r>
      <w:hyperlink r:id="rId16" w:history="1">
        <w:r w:rsidRPr="007D4280">
          <w:rPr>
            <w:rStyle w:val="Hyperlink"/>
            <w:rFonts w:ascii="Arial" w:hAnsi="Arial"/>
            <w:sz w:val="18"/>
          </w:rPr>
          <w:t>www.sedarplus.ca</w:t>
        </w:r>
      </w:hyperlink>
      <w:r w:rsidRPr="007D4280">
        <w:rPr>
          <w:rFonts w:ascii="Arial" w:hAnsi="Arial"/>
          <w:sz w:val="18"/>
        </w:rPr>
        <w:t xml:space="preserve"> et</w:t>
      </w:r>
      <w:r w:rsidR="00500224">
        <w:rPr>
          <w:rFonts w:ascii="Arial" w:hAnsi="Arial"/>
          <w:sz w:val="18"/>
        </w:rPr>
        <w:t xml:space="preserve"> sur</w:t>
      </w:r>
      <w:r w:rsidRPr="007D4280">
        <w:rPr>
          <w:rFonts w:ascii="Arial" w:hAnsi="Arial"/>
          <w:sz w:val="18"/>
        </w:rPr>
        <w:t xml:space="preserve"> le site Web de l’entreprise au </w:t>
      </w:r>
      <w:hyperlink r:id="rId17" w:history="1">
        <w:r w:rsidRPr="007D4280">
          <w:rPr>
            <w:rFonts w:ascii="Arial" w:hAnsi="Arial"/>
            <w:color w:val="0563C1"/>
            <w:sz w:val="18"/>
            <w:u w:val="single"/>
          </w:rPr>
          <w:t>www.mapleleaffoods.com/fr/</w:t>
        </w:r>
      </w:hyperlink>
      <w:r w:rsidRPr="007D4280">
        <w:t>.</w:t>
      </w:r>
    </w:p>
    <w:p w14:paraId="7D594383" w14:textId="540006F3" w:rsidR="00695197" w:rsidRPr="007D4280" w:rsidRDefault="00152032" w:rsidP="00E72EC2">
      <w:pPr>
        <w:spacing w:after="120" w:line="300" w:lineRule="auto"/>
        <w:rPr>
          <w:rFonts w:ascii="Arial" w:eastAsia="Arial" w:hAnsi="Arial" w:cs="Arial"/>
          <w:color w:val="0563C1"/>
          <w:sz w:val="18"/>
          <w:u w:val="single"/>
        </w:rPr>
      </w:pPr>
      <w:r w:rsidRPr="007D4280">
        <w:rPr>
          <w:rFonts w:ascii="Arial" w:hAnsi="Arial"/>
          <w:sz w:val="18"/>
        </w:rPr>
        <w:t>Les statuts de la Société ont été mis à jour le 1</w:t>
      </w:r>
      <w:r w:rsidRPr="007D4280">
        <w:rPr>
          <w:rFonts w:ascii="Arial" w:hAnsi="Arial"/>
          <w:sz w:val="18"/>
          <w:vertAlign w:val="superscript"/>
        </w:rPr>
        <w:t>er</w:t>
      </w:r>
      <w:r w:rsidRPr="007D4280">
        <w:rPr>
          <w:rFonts w:ascii="Arial" w:hAnsi="Arial"/>
          <w:sz w:val="18"/>
        </w:rPr>
        <w:t> octobre 2025 à la suite de la clôture de la Scission des activités porcines de la Société.</w:t>
      </w:r>
      <w:r w:rsidRPr="007D4280">
        <w:rPr>
          <w:b/>
        </w:rPr>
        <w:t xml:space="preserve"> </w:t>
      </w:r>
    </w:p>
    <w:p w14:paraId="24947794" w14:textId="3887E60D" w:rsidR="00734251" w:rsidRPr="007D4280" w:rsidRDefault="00734251" w:rsidP="00AC36E2">
      <w:pPr>
        <w:spacing w:after="120" w:line="300" w:lineRule="auto"/>
        <w:rPr>
          <w:rFonts w:ascii="Arial" w:eastAsia="Arial" w:hAnsi="Arial" w:cs="Arial"/>
          <w:sz w:val="18"/>
        </w:rPr>
      </w:pPr>
      <w:r w:rsidRPr="007D4280">
        <w:rPr>
          <w:rFonts w:ascii="Arial" w:hAnsi="Arial"/>
          <w:sz w:val="18"/>
        </w:rPr>
        <w:t>Au 31 décembre 2025, aucune autre filiale n’avait un actif total ou des produits d’exploitation représentant plus de 10 % des avoirs ou des revenus consolidés de la Société.</w:t>
      </w:r>
    </w:p>
    <w:p w14:paraId="57AEA4CA" w14:textId="39A4855A" w:rsidR="00695197" w:rsidRPr="007D4280" w:rsidRDefault="00152032" w:rsidP="00E72EC2">
      <w:pPr>
        <w:pStyle w:val="AIF-Level1"/>
        <w:outlineLvl w:val="0"/>
      </w:pPr>
      <w:bookmarkStart w:id="6" w:name="_Toc226985968"/>
      <w:r w:rsidRPr="007D4280">
        <w:t>ÉVOLUTION GÉNÉRALE DE L’ACTIVITÉ</w:t>
      </w:r>
      <w:bookmarkEnd w:id="6"/>
    </w:p>
    <w:p w14:paraId="361C38AF" w14:textId="77777777" w:rsidR="00AA5117" w:rsidRPr="007D4280" w:rsidRDefault="00152032" w:rsidP="004A454D">
      <w:pPr>
        <w:pStyle w:val="BodyText"/>
        <w:rPr>
          <w:b/>
          <w:bCs/>
        </w:rPr>
      </w:pPr>
      <w:bookmarkStart w:id="7" w:name="_Hlk186786151"/>
      <w:r w:rsidRPr="007D4280">
        <w:rPr>
          <w:b/>
        </w:rPr>
        <w:t>Aperçu</w:t>
      </w:r>
    </w:p>
    <w:p w14:paraId="7FCE3041" w14:textId="3081D441" w:rsidR="00A64A8B" w:rsidRPr="007D4280" w:rsidRDefault="00152032" w:rsidP="003873F7">
      <w:pPr>
        <w:spacing w:after="120" w:line="300" w:lineRule="auto"/>
        <w:rPr>
          <w:rFonts w:ascii="Arial" w:eastAsia="Arial" w:hAnsi="Arial" w:cs="Arial"/>
          <w:sz w:val="18"/>
        </w:rPr>
      </w:pPr>
      <w:r w:rsidRPr="007D4280">
        <w:rPr>
          <w:rFonts w:ascii="Arial" w:hAnsi="Arial"/>
          <w:sz w:val="18"/>
        </w:rPr>
        <w:t>Depuis trois ans, les Aliments Maple Leaf mène plusieurs initiatives stratégiques pour instaurer une nouvelle ère de croissance portée par la valeur ajoutée. Il convient notamment de souligner que la Société s’est recentrée sur les biens de consommation courante, une évolution marquée par la Scission de ses activités porcines. Cette transformation a également englobé l’initiative Alimentons la croissance, qui a permis de réaliser des gains d’efficacité organisationnelle et des économies de coûts; l’intégration des fonctions commerciales de la Société dans les domaines des protéines végétales et des protéines animales; l’achèvement d’importants projets d’investissement; ainsi que la poursuite du développement des plateformes de croissance stratégiques qui sous-tendent le plan directeur de Maple Leaf (le « plan directeur »). Vous trouverez ci-dessous de plus amples informations sur ces initiatives, ainsi que sur d’autres développements marquants de ces dernières années.</w:t>
      </w:r>
    </w:p>
    <w:p w14:paraId="4518698E" w14:textId="77777777" w:rsidR="00CC0278" w:rsidRPr="007D4280" w:rsidRDefault="00CC0278" w:rsidP="00CC0278">
      <w:pPr>
        <w:spacing w:after="120" w:line="300" w:lineRule="auto"/>
        <w:rPr>
          <w:rFonts w:ascii="Arial" w:eastAsia="Arial" w:hAnsi="Arial" w:cs="Arial"/>
          <w:i/>
          <w:iCs/>
          <w:sz w:val="18"/>
        </w:rPr>
      </w:pPr>
      <w:r w:rsidRPr="007D4280">
        <w:rPr>
          <w:rFonts w:ascii="Arial" w:hAnsi="Arial"/>
          <w:i/>
          <w:sz w:val="18"/>
        </w:rPr>
        <w:t>La Scission</w:t>
      </w:r>
    </w:p>
    <w:p w14:paraId="54963424" w14:textId="28DB95ED" w:rsidR="00CC0278" w:rsidRPr="007D4280" w:rsidRDefault="00CC0278" w:rsidP="00CC0278">
      <w:pPr>
        <w:pStyle w:val="BodyText"/>
        <w:keepNext/>
      </w:pPr>
      <w:r w:rsidRPr="007D4280">
        <w:t>Le 1</w:t>
      </w:r>
      <w:r w:rsidRPr="007D4280">
        <w:rPr>
          <w:vertAlign w:val="superscript"/>
        </w:rPr>
        <w:t>er</w:t>
      </w:r>
      <w:r w:rsidRPr="007D4280">
        <w:t xml:space="preserve"> octobre 2025, les Aliments Maple Leaf a finalisé la Scission de ses activités porcines au profit d’une société indépendante cotée en bourse, Canada Packers, dont les actions ordinaires sont cotées à la Bourse de Toronto (TSX) sous le symbole « CPKR », par le biais d’un plan d’arrangement en vertu de l’article 192 de la </w:t>
      </w:r>
      <w:r w:rsidRPr="007D4280">
        <w:rPr>
          <w:i/>
        </w:rPr>
        <w:t>Loi canadienne sur les sociétés par actions</w:t>
      </w:r>
      <w:r w:rsidRPr="007D4280">
        <w:t xml:space="preserve"> (la « LCSA »). Dans le cadre de la Scission, les Aliments Maple Leaf a conservé une participation de 16 % dans Canada Packers.</w:t>
      </w:r>
    </w:p>
    <w:p w14:paraId="215B34D4" w14:textId="38C52E99" w:rsidR="00CC0278" w:rsidRPr="007D4280" w:rsidRDefault="00D22877" w:rsidP="00CC0278">
      <w:pPr>
        <w:pStyle w:val="BodyText"/>
        <w:keepNext/>
      </w:pPr>
      <w:r w:rsidRPr="007D4280">
        <w:t>Les activités porcines qui étaient gérées par les Aliments Maple Leaf et ses filiales avant d’être cédées comprenaient, entre autres, des activités agricoles et d’élevage porcin, la transformation primaire de la viande de porc, ainsi qu’un réseau national et mondial de vente et de distribution de produits porcins frais et surgelés; elles incluaient tous les actifs et passifs y afférents détenus, directement ou indirectement, par les Aliments Maple Leaf et ses filiales, à l’exception des activités de désossage de jambons menées dans l’usine de viandes préparées de Lagimodière.</w:t>
      </w:r>
    </w:p>
    <w:p w14:paraId="6C6FBA8B" w14:textId="673C5241" w:rsidR="001B3F05" w:rsidRPr="007D4280" w:rsidRDefault="00CC0278" w:rsidP="00CC0278">
      <w:pPr>
        <w:spacing w:after="120" w:line="300" w:lineRule="auto"/>
        <w:rPr>
          <w:rFonts w:ascii="Arial" w:eastAsia="Arial" w:hAnsi="Arial" w:cs="Arial"/>
          <w:sz w:val="18"/>
        </w:rPr>
      </w:pPr>
      <w:r w:rsidRPr="007D4280">
        <w:rPr>
          <w:rFonts w:ascii="Arial" w:hAnsi="Arial"/>
          <w:sz w:val="18"/>
        </w:rPr>
        <w:t>Le 29 avril 2025, les Aliments Maple Leaf et les prédécesseurs juridiques de Canada Packers avaient conclu la convention d’arrangement (telle que définie ci-dessous) en vue de réaliser la Scission. Le 28 juillet 2025, en prévision de la séparation des activités porcines de la Société dans le cadre de la Scission, les Aliments Maple Leaf a conclu l’accord d’approvisionnement (tel que défini ci-dessous), un accord de scission, un accord de services à long terme, un contrat de services de transition et un accord sur les régimes de retraite et les avantages sociaux, transférant ainsi les activités porcines de la Société à une filiale en propriété exclusive des Aliments Maple Leaf (l’un des prédécesseurs juridiques de Canada Packers), et établissant un cadre pour les relations futures entre les Aliments Maple Leaf et Canada Packers. Par ailleurs, dans le cadre de la Scission, la Société a conclu plusieurs autres accords, notamment un accord de gouvernance avec Canada Packers, McCain Capital Inc. (« MCI ») et Michael H. McCain, aux termes duquel MCI a la capacité de nommer jusqu’à deux administrateurs (et a nommé Michael H. McCain et Jonathan McCain) et les Aliments Maple Leaf a la capacité de nommer jusqu’à un administrateur (et a nommé Curtis Frank) au conseil d’administration de neuf membres de Canada Packers, et tant MCI que les Aliments Maple Leaf dispose de certains droits de consentement. Les résumés de l’accord de scission, de l’accord de services à long terme, de l’accord de services de transition, de l’accord sur les régimes de retraite et les avantages sociaux, ainsi que de l’accord de gouvernance conclus avec Canada Packers, MCI et Michael H. McCain figurent dans la circulaire relative à l’assemblée générale annuelle et extraordinaire de la Société datée du 1</w:t>
      </w:r>
      <w:r w:rsidRPr="007D4280">
        <w:rPr>
          <w:rFonts w:ascii="Arial" w:hAnsi="Arial"/>
          <w:sz w:val="18"/>
          <w:vertAlign w:val="superscript"/>
        </w:rPr>
        <w:t>er</w:t>
      </w:r>
      <w:r w:rsidRPr="007D4280">
        <w:rPr>
          <w:rFonts w:ascii="Arial" w:hAnsi="Arial"/>
          <w:sz w:val="18"/>
        </w:rPr>
        <w:t> mai 2025, disponible sur le profil SEDAR+ de la Société. Voir la rubrique « Contrats importants » pour consulter les résumés de la convention d’arrangement et de l’accord d’approvisionnement. Une copie intégrale de la convention d’arrangement figure également dans la circulaire relative à l’assemblée générale annuelle et à l’assemblée générale annuelle et extraordinaire de la Société datée du 1</w:t>
      </w:r>
      <w:r w:rsidRPr="007D4280">
        <w:rPr>
          <w:rFonts w:ascii="Arial" w:hAnsi="Arial"/>
          <w:sz w:val="18"/>
          <w:vertAlign w:val="superscript"/>
        </w:rPr>
        <w:t>er</w:t>
      </w:r>
      <w:r w:rsidRPr="007D4280">
        <w:rPr>
          <w:rFonts w:ascii="Arial" w:hAnsi="Arial"/>
          <w:sz w:val="18"/>
        </w:rPr>
        <w:t xml:space="preserve"> mai 2025, et l’accord d’approvisionnement est également disponible sur le profil SEDAR+ de la Société. </w:t>
      </w:r>
    </w:p>
    <w:p w14:paraId="41908D4A" w14:textId="77777777" w:rsidR="00124E60" w:rsidRPr="007D4280" w:rsidRDefault="00152032" w:rsidP="00124E60">
      <w:pPr>
        <w:spacing w:after="160" w:line="300" w:lineRule="auto"/>
        <w:rPr>
          <w:rFonts w:ascii="Arial" w:eastAsia="Arial" w:hAnsi="Arial" w:cs="Arial"/>
          <w:i/>
          <w:iCs/>
          <w:sz w:val="18"/>
        </w:rPr>
      </w:pPr>
      <w:r w:rsidRPr="007D4280">
        <w:rPr>
          <w:rFonts w:ascii="Arial" w:hAnsi="Arial"/>
          <w:i/>
          <w:sz w:val="18"/>
        </w:rPr>
        <w:t>Alimentons la croissance : optimisation de la chaîne d’approvisionnement et améliorations des dépenses de ventes et d’administration</w:t>
      </w:r>
    </w:p>
    <w:p w14:paraId="2F797724" w14:textId="5EF044A2" w:rsidR="00AA5117" w:rsidRPr="007D4280" w:rsidRDefault="004A170D" w:rsidP="00AA5117">
      <w:pPr>
        <w:spacing w:after="120" w:line="300" w:lineRule="auto"/>
        <w:rPr>
          <w:rFonts w:ascii="Arial" w:eastAsia="Arial" w:hAnsi="Arial" w:cs="Arial"/>
          <w:sz w:val="18"/>
        </w:rPr>
      </w:pPr>
      <w:r w:rsidRPr="007D4280">
        <w:rPr>
          <w:rFonts w:ascii="Arial" w:hAnsi="Arial"/>
          <w:sz w:val="18"/>
        </w:rPr>
        <w:t>À partir de 2024, les Aliments Maple Leaf a lancé diverses initiatives visant à accélérer ses efforts de réduction des coûts et à renforcer son avantage concurrentiel, qui s’inscrivent désormais dans le cadre d’un programme plus large intitulé Alimentons la croissance. Ce programme comprend l’optimisation des ressources et des processus au sein de l’ensemble d’actifs de calibre mondial de la Société, l’investissement dans la technologie d’automatisation et la simplification de la structure organisationnelle pour une meilleure exécution.</w:t>
      </w:r>
    </w:p>
    <w:p w14:paraId="61DC74AC" w14:textId="77777777" w:rsidR="00AA5117" w:rsidRPr="007D4280" w:rsidRDefault="00152032" w:rsidP="00AA5117">
      <w:pPr>
        <w:spacing w:after="120" w:line="300" w:lineRule="auto"/>
        <w:rPr>
          <w:rFonts w:ascii="Arial" w:eastAsia="Arial" w:hAnsi="Arial" w:cs="Arial"/>
          <w:sz w:val="18"/>
        </w:rPr>
      </w:pPr>
      <w:r w:rsidRPr="007D4280">
        <w:rPr>
          <w:rFonts w:ascii="Arial" w:hAnsi="Arial"/>
          <w:sz w:val="18"/>
        </w:rPr>
        <w:t>Voici les principaux aspects du programme.</w:t>
      </w:r>
    </w:p>
    <w:p w14:paraId="6174C718" w14:textId="2B1DB4B1" w:rsidR="00AA5117" w:rsidRPr="007D4280" w:rsidRDefault="00152032" w:rsidP="00AA5117">
      <w:pPr>
        <w:numPr>
          <w:ilvl w:val="0"/>
          <w:numId w:val="18"/>
        </w:numPr>
        <w:spacing w:before="120" w:line="278" w:lineRule="auto"/>
        <w:rPr>
          <w:rFonts w:ascii="Arial" w:hAnsi="Arial" w:cs="Arial"/>
          <w:sz w:val="18"/>
          <w:szCs w:val="18"/>
        </w:rPr>
      </w:pPr>
      <w:r w:rsidRPr="007D4280">
        <w:rPr>
          <w:rFonts w:ascii="Arial" w:hAnsi="Arial"/>
          <w:i/>
          <w:sz w:val="18"/>
        </w:rPr>
        <w:t>Optimisation de la chaîne d’approvisionnement :</w:t>
      </w:r>
      <w:r w:rsidRPr="007D4280">
        <w:rPr>
          <w:rFonts w:ascii="Arial" w:hAnsi="Arial"/>
          <w:sz w:val="18"/>
        </w:rPr>
        <w:t xml:space="preserve"> En 2024, la Société a achevé un projet d’optimisation de l’approvisionnement qui a accru les économies, l’extensibilité et l’agilité de la chaîne d’approvisionnement. </w:t>
      </w:r>
    </w:p>
    <w:p w14:paraId="5806D10A" w14:textId="7FB8906F" w:rsidR="00AA5117" w:rsidRPr="007D4280" w:rsidRDefault="00152032" w:rsidP="00BD7E95">
      <w:pPr>
        <w:numPr>
          <w:ilvl w:val="0"/>
          <w:numId w:val="18"/>
        </w:numPr>
        <w:spacing w:before="120" w:after="160" w:line="300" w:lineRule="auto"/>
        <w:rPr>
          <w:rFonts w:ascii="Arial" w:eastAsia="Arial" w:hAnsi="Arial" w:cs="Arial"/>
          <w:sz w:val="18"/>
        </w:rPr>
      </w:pPr>
      <w:r w:rsidRPr="007D4280">
        <w:rPr>
          <w:rFonts w:ascii="Arial" w:hAnsi="Arial"/>
          <w:i/>
          <w:sz w:val="18"/>
        </w:rPr>
        <w:t>Amélioration des dépenses de vente et d’administration :</w:t>
      </w:r>
      <w:r w:rsidRPr="007D4280">
        <w:rPr>
          <w:rFonts w:ascii="Arial" w:hAnsi="Arial"/>
          <w:sz w:val="18"/>
        </w:rPr>
        <w:t xml:space="preserve"> La société a mené à bien deux séries de mesures visant à réduire ses dépenses de vente et d’administration. La première phase, achevée en 2024, a consisté à restructurer les équipes commerciales et opérationnelles de la Société, tandis que la deuxième phase, achevée en 2025, a donné lieu à des changements dans plusieurs domaines de la Société, notamment la production. Cette initiative a permis d’alléger la structure organisationnelle, de réduire les effectifs et de rationaliser les opérations. Ces mesures, associées à la rationalisation déjà menée à bien dans le secteur des protéines végétales (décrite ci-dessous sous </w:t>
      </w:r>
      <w:r w:rsidRPr="007D4280">
        <w:rPr>
          <w:rFonts w:ascii="Arial" w:hAnsi="Arial"/>
          <w:i/>
          <w:sz w:val="18"/>
        </w:rPr>
        <w:t>Regroupement des protéines végétales et animales</w:t>
      </w:r>
      <w:r w:rsidRPr="007D4280">
        <w:rPr>
          <w:rFonts w:ascii="Arial" w:hAnsi="Arial"/>
          <w:sz w:val="18"/>
        </w:rPr>
        <w:t>), ont commencé à générer des économies dès 2025.</w:t>
      </w:r>
    </w:p>
    <w:p w14:paraId="22C8567C" w14:textId="3F529C41" w:rsidR="00DE3E52" w:rsidRPr="007D4280" w:rsidRDefault="00152032" w:rsidP="00BD7E95">
      <w:pPr>
        <w:numPr>
          <w:ilvl w:val="0"/>
          <w:numId w:val="18"/>
        </w:numPr>
        <w:spacing w:before="120" w:after="120" w:line="278" w:lineRule="auto"/>
        <w:rPr>
          <w:rFonts w:ascii="Arial" w:eastAsia="Arial" w:hAnsi="Arial" w:cs="Arial"/>
          <w:sz w:val="18"/>
        </w:rPr>
      </w:pPr>
      <w:r w:rsidRPr="007D4280">
        <w:rPr>
          <w:rFonts w:ascii="Arial" w:hAnsi="Arial"/>
          <w:i/>
          <w:sz w:val="18"/>
        </w:rPr>
        <w:t>Examen stratégique de la fabrication :</w:t>
      </w:r>
      <w:r w:rsidRPr="007D4280">
        <w:rPr>
          <w:rFonts w:ascii="Arial" w:hAnsi="Arial"/>
          <w:sz w:val="18"/>
        </w:rPr>
        <w:t xml:space="preserve"> En 2025, la Société a fait progresser un examen stratégique de son réseau de fabrication et d’exploitation visant à accroître l’utilisation de la capacité, à optimiser son empreinte, à adopter des technologies de pointe et à intégrer l’excellence opérationnelle dans l’ensemble de ses processus. À la suite de cet examen, la Société a lancé un plan de mise en œuvre pluriannuel, qui prévoyait la fermeture de l’usine de Brantford au cours du premier semestre 2025. La Société continue de se concentrer sur la mise en œuvre de ce plan, qui devrait permettre d’optimiser l’utilisation des installations, de réduire les frais généraux, de mieux adapter les actifs aux segments les plus porteurs de la demande des consommateurs et de soutenir la croissance future.</w:t>
      </w:r>
    </w:p>
    <w:p w14:paraId="019B96AC" w14:textId="32ECE015" w:rsidR="00AA5117" w:rsidRPr="007D4280" w:rsidRDefault="00152032" w:rsidP="001E167B">
      <w:pPr>
        <w:keepNext/>
        <w:keepLines/>
        <w:spacing w:after="160" w:line="300" w:lineRule="auto"/>
        <w:rPr>
          <w:rFonts w:ascii="Arial" w:eastAsia="Arial" w:hAnsi="Arial" w:cs="Arial"/>
          <w:i/>
          <w:iCs/>
          <w:sz w:val="18"/>
        </w:rPr>
      </w:pPr>
      <w:r w:rsidRPr="007D4280">
        <w:rPr>
          <w:rFonts w:ascii="Arial" w:hAnsi="Arial"/>
          <w:i/>
          <w:sz w:val="18"/>
        </w:rPr>
        <w:t>Regroupement des protéines végétales et animales</w:t>
      </w:r>
    </w:p>
    <w:p w14:paraId="48F00885" w14:textId="3B5447E4" w:rsidR="00AA5117" w:rsidRPr="007D4280" w:rsidRDefault="00152032" w:rsidP="001E167B">
      <w:pPr>
        <w:keepNext/>
        <w:keepLines/>
        <w:spacing w:after="160" w:line="300" w:lineRule="auto"/>
        <w:rPr>
          <w:rFonts w:ascii="Arial" w:eastAsia="Arial" w:hAnsi="Arial" w:cs="Arial"/>
          <w:sz w:val="18"/>
        </w:rPr>
      </w:pPr>
      <w:r w:rsidRPr="007D4280">
        <w:rPr>
          <w:rFonts w:ascii="Arial" w:hAnsi="Arial"/>
          <w:sz w:val="18"/>
        </w:rPr>
        <w:t xml:space="preserve">En 2023, à la suite d’une précédente révision approfondie de ses catégories de produits, les Aliments Maple Leaf a rationalisé son activité dans le domaine des protéines végétales en se concentrant sur ses marques phares. </w:t>
      </w:r>
    </w:p>
    <w:p w14:paraId="5F9A76E0" w14:textId="67AE4F17" w:rsidR="004A170D" w:rsidRPr="007D4280" w:rsidRDefault="00152032" w:rsidP="00BD7E95">
      <w:pPr>
        <w:spacing w:after="160" w:line="300" w:lineRule="auto"/>
        <w:rPr>
          <w:rFonts w:ascii="Arial" w:eastAsia="Arial" w:hAnsi="Arial" w:cs="Arial"/>
          <w:sz w:val="18"/>
        </w:rPr>
      </w:pPr>
      <w:r w:rsidRPr="007D4280">
        <w:rPr>
          <w:rFonts w:ascii="Arial" w:hAnsi="Arial"/>
          <w:sz w:val="18"/>
        </w:rPr>
        <w:t>En 2024, la Société a franchi une nouvelle étape en regroupant la direction de ses segments protéines animales et végétales et a recommencé à publier ses résultats en tant qu’entreprise consolidée spécialisée dans les protéines.</w:t>
      </w:r>
    </w:p>
    <w:p w14:paraId="35ED76C2" w14:textId="0880B53E" w:rsidR="00124E60" w:rsidRPr="007D4280" w:rsidRDefault="004A170D" w:rsidP="00BD7E95">
      <w:pPr>
        <w:spacing w:after="160" w:line="300" w:lineRule="auto"/>
        <w:rPr>
          <w:rFonts w:ascii="Arial" w:eastAsia="Arial" w:hAnsi="Arial" w:cs="Arial"/>
          <w:i/>
          <w:iCs/>
          <w:sz w:val="18"/>
        </w:rPr>
      </w:pPr>
      <w:r w:rsidRPr="007D4280">
        <w:rPr>
          <w:rFonts w:ascii="Arial" w:hAnsi="Arial"/>
          <w:sz w:val="18"/>
        </w:rPr>
        <w:t>En 2025, la Société a mené à bien une réorganisation interne de ses équipes de direction commerciales et opérationnelles afin de soutenir son approche intégrée et de mettre en place une structure visant à accélérer la croissance dans les catégories de la viande et des protéines végétales au Canada et aux États-Unis.</w:t>
      </w:r>
    </w:p>
    <w:p w14:paraId="4AAFA45A" w14:textId="441B5DD2" w:rsidR="00AA5117" w:rsidRPr="007D4280" w:rsidRDefault="00152032" w:rsidP="00AA5117">
      <w:pPr>
        <w:spacing w:after="160" w:line="300" w:lineRule="auto"/>
        <w:rPr>
          <w:rFonts w:ascii="Arial" w:eastAsia="Arial" w:hAnsi="Arial" w:cs="Arial"/>
          <w:i/>
          <w:iCs/>
          <w:sz w:val="18"/>
        </w:rPr>
      </w:pPr>
      <w:bookmarkStart w:id="8" w:name="_Hlk219120600"/>
      <w:r w:rsidRPr="007D4280">
        <w:rPr>
          <w:rFonts w:ascii="Arial" w:hAnsi="Arial"/>
          <w:i/>
          <w:sz w:val="18"/>
        </w:rPr>
        <w:t xml:space="preserve">Récolter les avantages des grands projets d’immobilisations </w:t>
      </w:r>
    </w:p>
    <w:p w14:paraId="4F40E3DD" w14:textId="77777777" w:rsidR="00AA5117" w:rsidRPr="007D4280" w:rsidRDefault="00152032" w:rsidP="00AA5117">
      <w:pPr>
        <w:rPr>
          <w:rFonts w:ascii="Arial" w:eastAsia="Arial" w:hAnsi="Arial" w:cs="Arial"/>
          <w:sz w:val="18"/>
        </w:rPr>
      </w:pPr>
      <w:r w:rsidRPr="007D4280">
        <w:rPr>
          <w:rFonts w:ascii="Arial" w:hAnsi="Arial"/>
          <w:sz w:val="18"/>
        </w:rPr>
        <w:t>Au cours des dernières années, les Aliments Maple Leaf a mené à bien plusieurs grands projets d’immobilisations qui ont permis d’accroître la capacité de production à valeur ajoutée et de réaliser des économies d’échelle. Parmi les principales initiatives, on peut citer :</w:t>
      </w:r>
    </w:p>
    <w:p w14:paraId="077286F5" w14:textId="2F9800B2" w:rsidR="00AA5117" w:rsidRPr="007D4280" w:rsidRDefault="00152032" w:rsidP="003E4920">
      <w:pPr>
        <w:pStyle w:val="ListParagraph"/>
        <w:numPr>
          <w:ilvl w:val="0"/>
          <w:numId w:val="21"/>
        </w:numPr>
        <w:spacing w:after="120" w:line="300" w:lineRule="auto"/>
        <w:rPr>
          <w:rFonts w:eastAsia="Arial"/>
          <w:sz w:val="18"/>
        </w:rPr>
      </w:pPr>
      <w:r w:rsidRPr="007D4280">
        <w:rPr>
          <w:b/>
          <w:sz w:val="18"/>
        </w:rPr>
        <w:t>Usine de transformation de la volaille à London, en Ontario :</w:t>
      </w:r>
      <w:r w:rsidRPr="007D4280">
        <w:rPr>
          <w:sz w:val="18"/>
        </w:rPr>
        <w:t xml:space="preserve"> Cette usine de transformation de la volaille ultramoderne a été construite grâce à un investissement d’environ 780 millions de dollars. La construction s’étant achevée en 2022, la production s’est intensifiée tout au long de l’année 2023, ce qui a permis la fermeture de quatre anciennes usines avant la fin de cette même année. </w:t>
      </w:r>
    </w:p>
    <w:p w14:paraId="4FB0072C" w14:textId="37FFD92F" w:rsidR="00AA5117" w:rsidRPr="007D4280" w:rsidRDefault="00152032" w:rsidP="003E4920">
      <w:pPr>
        <w:pStyle w:val="ListParagraph"/>
        <w:numPr>
          <w:ilvl w:val="0"/>
          <w:numId w:val="21"/>
        </w:numPr>
        <w:spacing w:after="120" w:line="300" w:lineRule="auto"/>
        <w:rPr>
          <w:rFonts w:eastAsia="Arial"/>
          <w:sz w:val="18"/>
        </w:rPr>
      </w:pPr>
      <w:r w:rsidRPr="007D4280">
        <w:rPr>
          <w:b/>
          <w:sz w:val="18"/>
        </w:rPr>
        <w:t>Centre d’excellence en bacon à Winnipeg, au Manitoba :</w:t>
      </w:r>
      <w:r w:rsidRPr="007D4280">
        <w:rPr>
          <w:sz w:val="18"/>
        </w:rPr>
        <w:t xml:space="preserve"> L’usine de Lagimodière a été agrandie grâce à un investissement d’environ 192 millions de dollars afin de développer une capacité de production importante de bacon précuit pour micro-ondes. Achevée en 2021, l’installation avait atteint sa pleine capacité de production à la fin de 2023.</w:t>
      </w:r>
    </w:p>
    <w:p w14:paraId="2F0FF63B" w14:textId="41BA60BD" w:rsidR="00AA5117" w:rsidRPr="007D4280" w:rsidRDefault="00152032" w:rsidP="003E4920">
      <w:pPr>
        <w:pStyle w:val="ListParagraph"/>
        <w:numPr>
          <w:ilvl w:val="0"/>
          <w:numId w:val="21"/>
        </w:numPr>
        <w:spacing w:after="120" w:line="300" w:lineRule="auto"/>
        <w:rPr>
          <w:rFonts w:eastAsia="Arial"/>
          <w:sz w:val="18"/>
        </w:rPr>
      </w:pPr>
      <w:r w:rsidRPr="007D4280">
        <w:rPr>
          <w:b/>
          <w:sz w:val="18"/>
        </w:rPr>
        <w:t>Agrandissement de l’usine de Walker Road, à Brampton, en Ontario :</w:t>
      </w:r>
      <w:r w:rsidRPr="007D4280">
        <w:rPr>
          <w:sz w:val="18"/>
        </w:rPr>
        <w:t xml:space="preserve"> La capacité de production de l’usine de Walker Road a été augmentée grâce à un investissement d’environ 65 millions de dollars, ce qui a permis d’optimiser le réseau de transformation de la volaille. Les travaux ont été achevés en 2023.</w:t>
      </w:r>
    </w:p>
    <w:p w14:paraId="05DAE9C8" w14:textId="126607B5" w:rsidR="00124E60" w:rsidRPr="007D4280" w:rsidRDefault="00152032" w:rsidP="003873F7">
      <w:pPr>
        <w:spacing w:after="120"/>
        <w:rPr>
          <w:rFonts w:ascii="Arial" w:eastAsia="Arial" w:hAnsi="Arial" w:cs="Arial"/>
          <w:sz w:val="18"/>
        </w:rPr>
      </w:pPr>
      <w:r w:rsidRPr="007D4280">
        <w:rPr>
          <w:rFonts w:ascii="Arial" w:hAnsi="Arial"/>
          <w:sz w:val="18"/>
        </w:rPr>
        <w:t>Ces grands programmes d’immobilisations étant désormais achevés, les Aliments Maple Leaf est en mesure de créer de la valeur ajoutée en tirant parti de son portefeuille de marques de premier plan, de son leadership en matière de développement durable et de sa chaîne d’approvisionnement de classe mondiale pour générer une croissance rentable.</w:t>
      </w:r>
    </w:p>
    <w:bookmarkEnd w:id="8"/>
    <w:p w14:paraId="4DADF647" w14:textId="169BC6A7" w:rsidR="00AA5117" w:rsidRPr="007D4280" w:rsidRDefault="00152032" w:rsidP="00AA5117">
      <w:pPr>
        <w:spacing w:after="160" w:line="300" w:lineRule="auto"/>
        <w:rPr>
          <w:rFonts w:ascii="Arial" w:eastAsia="Arial" w:hAnsi="Arial" w:cs="Arial"/>
          <w:i/>
          <w:iCs/>
          <w:sz w:val="18"/>
        </w:rPr>
      </w:pPr>
      <w:r w:rsidRPr="007D4280">
        <w:rPr>
          <w:rFonts w:ascii="Arial" w:hAnsi="Arial"/>
          <w:i/>
          <w:sz w:val="18"/>
        </w:rPr>
        <w:t xml:space="preserve">Faire avancer le plan directeur </w:t>
      </w:r>
    </w:p>
    <w:p w14:paraId="25CDE78C" w14:textId="531226F4" w:rsidR="00AA5117" w:rsidRPr="007D4280" w:rsidRDefault="00152032" w:rsidP="003873F7">
      <w:pPr>
        <w:spacing w:after="120" w:line="300" w:lineRule="auto"/>
        <w:rPr>
          <w:rFonts w:ascii="Arial" w:eastAsia="Arial" w:hAnsi="Arial" w:cs="Arial"/>
          <w:sz w:val="18"/>
        </w:rPr>
      </w:pPr>
      <w:r w:rsidRPr="007D4280">
        <w:rPr>
          <w:rFonts w:ascii="Arial" w:hAnsi="Arial"/>
          <w:sz w:val="18"/>
        </w:rPr>
        <w:t>La mission des Aliments Maple Leaf – rehausser le mérite des aliments – et sa vision – devenir l’entreprise de produits de protéines la plus durable sur la planète – servent d’étoile polaire à la Société. Les Aliments Maple Leaf s’engage à créer de la valeur partagée en atteignant ses objectifs commerciaux et financiers tout en s’attaquant à des enjeux sociétaux importants. La vision et la mission de cette entreprise, qui constituent le fondement du plan directeur des Aliments Maple Leaf, ont été définies en 2017, et ce plan d’action a été mis à jour en 2024. Les cinq grandes stratégies du plan orientent les efforts de la Société vers la création d’une valeur partagée. Les principaux progrès réalisés en ce sens depuis trois ans sont résumés ci-dessous.</w:t>
      </w:r>
    </w:p>
    <w:p w14:paraId="05365DB0" w14:textId="77777777" w:rsidR="00AA5117" w:rsidRPr="007D4280" w:rsidRDefault="00152032" w:rsidP="003E4920">
      <w:pPr>
        <w:pStyle w:val="ListParagraph"/>
        <w:numPr>
          <w:ilvl w:val="0"/>
          <w:numId w:val="19"/>
        </w:numPr>
        <w:tabs>
          <w:tab w:val="clear" w:pos="720"/>
          <w:tab w:val="num" w:pos="450"/>
        </w:tabs>
        <w:spacing w:before="240" w:after="120" w:line="300" w:lineRule="auto"/>
        <w:ind w:left="461" w:hanging="274"/>
        <w:rPr>
          <w:rFonts w:eastAsia="Arial"/>
          <w:sz w:val="18"/>
        </w:rPr>
      </w:pPr>
      <w:r w:rsidRPr="007D4280">
        <w:rPr>
          <w:b/>
          <w:sz w:val="18"/>
        </w:rPr>
        <w:t>Montrer l’exemple :</w:t>
      </w:r>
      <w:r w:rsidRPr="007D4280">
        <w:rPr>
          <w:sz w:val="18"/>
        </w:rPr>
        <w:t xml:space="preserve"> Les Aliments Maple Leaf s’engage à produire de meilleurs aliments, à offrir de meilleurs soins et à entretenir une meilleure planète. Voici quelques réalisations des dernières années.</w:t>
      </w:r>
    </w:p>
    <w:p w14:paraId="5B134EA0" w14:textId="4C5D5613" w:rsidR="00643FBA" w:rsidRPr="007D4280" w:rsidRDefault="00152032" w:rsidP="00643FBA">
      <w:pPr>
        <w:pStyle w:val="ListParagraph"/>
        <w:shd w:val="clear" w:color="auto" w:fill="FFFFFF" w:themeFill="background1"/>
        <w:autoSpaceDE/>
        <w:autoSpaceDN/>
        <w:adjustRightInd/>
        <w:spacing w:before="120" w:line="278" w:lineRule="auto"/>
        <w:ind w:left="720" w:firstLine="0"/>
        <w:rPr>
          <w:i/>
          <w:sz w:val="18"/>
        </w:rPr>
      </w:pPr>
      <w:r w:rsidRPr="007D4280">
        <w:rPr>
          <w:i/>
          <w:sz w:val="18"/>
        </w:rPr>
        <w:t>Produire de meilleurs aliments pour les clients et les consommateurs que nous servons</w:t>
      </w:r>
    </w:p>
    <w:p w14:paraId="11B286C1" w14:textId="62CD8CFF" w:rsidR="00643FBA" w:rsidRPr="007D4280" w:rsidRDefault="00643FBA" w:rsidP="003E4920">
      <w:pPr>
        <w:pStyle w:val="ListParagraph"/>
        <w:numPr>
          <w:ilvl w:val="1"/>
          <w:numId w:val="20"/>
        </w:numPr>
        <w:shd w:val="clear" w:color="auto" w:fill="FFFFFF" w:themeFill="background1"/>
        <w:autoSpaceDE/>
        <w:autoSpaceDN/>
        <w:adjustRightInd/>
        <w:spacing w:before="0" w:after="60" w:line="278" w:lineRule="auto"/>
        <w:rPr>
          <w:rFonts w:eastAsia="Arial"/>
          <w:sz w:val="18"/>
          <w:szCs w:val="18"/>
        </w:rPr>
      </w:pPr>
      <w:r w:rsidRPr="007D4280">
        <w:rPr>
          <w:sz w:val="18"/>
        </w:rPr>
        <w:t>Leadership mondial en matière de salubrité et de qualité des aliments.</w:t>
      </w:r>
    </w:p>
    <w:p w14:paraId="30EA52CB" w14:textId="3AA2CE5C" w:rsidR="00643FBA" w:rsidRPr="007D4280" w:rsidRDefault="00643FBA" w:rsidP="003E4920">
      <w:pPr>
        <w:pStyle w:val="ListParagraph"/>
        <w:numPr>
          <w:ilvl w:val="2"/>
          <w:numId w:val="20"/>
        </w:numPr>
        <w:shd w:val="clear" w:color="auto" w:fill="FFFFFF" w:themeFill="background1"/>
        <w:autoSpaceDE/>
        <w:autoSpaceDN/>
        <w:adjustRightInd/>
        <w:spacing w:before="0" w:after="60" w:line="278" w:lineRule="auto"/>
        <w:rPr>
          <w:rFonts w:eastAsia="Arial"/>
          <w:sz w:val="18"/>
          <w:szCs w:val="18"/>
        </w:rPr>
      </w:pPr>
      <w:r w:rsidRPr="007D4280">
        <w:rPr>
          <w:sz w:val="18"/>
        </w:rPr>
        <w:t xml:space="preserve">Conformité rigoureuse, toutes nos installations respectant ou dépassant les normes de la Global Food </w:t>
      </w:r>
      <w:proofErr w:type="spellStart"/>
      <w:r w:rsidRPr="007D4280">
        <w:rPr>
          <w:sz w:val="18"/>
        </w:rPr>
        <w:t>Safety</w:t>
      </w:r>
      <w:proofErr w:type="spellEnd"/>
      <w:r w:rsidRPr="007D4280">
        <w:rPr>
          <w:sz w:val="18"/>
        </w:rPr>
        <w:t xml:space="preserve"> Initiative.</w:t>
      </w:r>
    </w:p>
    <w:p w14:paraId="61EE307C" w14:textId="66F731D9" w:rsidR="00643FBA" w:rsidRPr="007D4280" w:rsidRDefault="00643FBA" w:rsidP="003E4920">
      <w:pPr>
        <w:pStyle w:val="ListParagraph"/>
        <w:numPr>
          <w:ilvl w:val="2"/>
          <w:numId w:val="20"/>
        </w:numPr>
        <w:shd w:val="clear" w:color="auto" w:fill="FFFFFF" w:themeFill="background1"/>
        <w:autoSpaceDE/>
        <w:autoSpaceDN/>
        <w:adjustRightInd/>
        <w:spacing w:before="0" w:after="60" w:line="278" w:lineRule="auto"/>
        <w:rPr>
          <w:rFonts w:eastAsia="Arial"/>
          <w:sz w:val="18"/>
          <w:szCs w:val="18"/>
        </w:rPr>
      </w:pPr>
      <w:r w:rsidRPr="007D4280">
        <w:rPr>
          <w:sz w:val="18"/>
        </w:rPr>
        <w:t>Réalisation de 432 000 tests chaque année.</w:t>
      </w:r>
    </w:p>
    <w:p w14:paraId="1DFC9048" w14:textId="7894DCC3" w:rsidR="00643FBA" w:rsidRPr="007D4280" w:rsidRDefault="00643FBA" w:rsidP="003E4920">
      <w:pPr>
        <w:pStyle w:val="ListParagraph"/>
        <w:numPr>
          <w:ilvl w:val="2"/>
          <w:numId w:val="20"/>
        </w:numPr>
        <w:shd w:val="clear" w:color="auto" w:fill="FFFFFF" w:themeFill="background1"/>
        <w:autoSpaceDE/>
        <w:autoSpaceDN/>
        <w:adjustRightInd/>
        <w:spacing w:before="0" w:after="60" w:line="278" w:lineRule="auto"/>
        <w:rPr>
          <w:rFonts w:eastAsia="Arial"/>
          <w:sz w:val="18"/>
          <w:szCs w:val="18"/>
        </w:rPr>
      </w:pPr>
      <w:r w:rsidRPr="007D4280">
        <w:rPr>
          <w:sz w:val="18"/>
        </w:rPr>
        <w:t>Réduction de 85 % des plaintes relatives à la qualité depuis 2016.</w:t>
      </w:r>
    </w:p>
    <w:p w14:paraId="63E88FA0" w14:textId="33BC020D"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rFonts w:eastAsia="Arial"/>
          <w:sz w:val="18"/>
          <w:szCs w:val="18"/>
        </w:rPr>
      </w:pPr>
      <w:r w:rsidRPr="007D4280">
        <w:rPr>
          <w:sz w:val="18"/>
        </w:rPr>
        <w:t xml:space="preserve">Reformulation de nombreux produits de marque Maple Leaf afin d’en améliorer le profil nutritionnel tout en continuant d’offrir le bon goût que les consommateurs aiment et attendent. </w:t>
      </w:r>
    </w:p>
    <w:p w14:paraId="6BDAD01A" w14:textId="77777777"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rFonts w:eastAsia="Arial"/>
          <w:sz w:val="18"/>
          <w:szCs w:val="18"/>
        </w:rPr>
      </w:pPr>
      <w:r w:rsidRPr="007D4280">
        <w:rPr>
          <w:sz w:val="18"/>
        </w:rPr>
        <w:t>Lancement d’une nouvelle gamme de bâtonnets de viande de marque Mighty </w:t>
      </w:r>
      <w:proofErr w:type="spellStart"/>
      <w:r w:rsidRPr="007D4280">
        <w:rPr>
          <w:sz w:val="18"/>
        </w:rPr>
        <w:t>Protein</w:t>
      </w:r>
      <w:proofErr w:type="spellEnd"/>
      <w:r w:rsidRPr="007D4280">
        <w:rPr>
          <w:sz w:val="18"/>
        </w:rPr>
        <w:t xml:space="preserve"> qui sont riches en protéines, sans gluten et sans sucre, et faits de volaille élevée sans antibiotiques ni hormones ajoutées.</w:t>
      </w:r>
    </w:p>
    <w:p w14:paraId="446E73A0" w14:textId="77777777" w:rsidR="00AA5117" w:rsidRPr="007D4280" w:rsidRDefault="00152032" w:rsidP="003E4920">
      <w:pPr>
        <w:pStyle w:val="ListParagraph"/>
        <w:numPr>
          <w:ilvl w:val="1"/>
          <w:numId w:val="20"/>
        </w:numPr>
        <w:shd w:val="clear" w:color="auto" w:fill="FFFFFF" w:themeFill="background1"/>
        <w:autoSpaceDE/>
        <w:autoSpaceDN/>
        <w:adjustRightInd/>
        <w:spacing w:before="0" w:after="120" w:line="278" w:lineRule="auto"/>
        <w:rPr>
          <w:rFonts w:eastAsia="Arial"/>
          <w:sz w:val="18"/>
          <w:szCs w:val="18"/>
        </w:rPr>
      </w:pPr>
      <w:r w:rsidRPr="007D4280">
        <w:rPr>
          <w:sz w:val="18"/>
        </w:rPr>
        <w:t xml:space="preserve">Croissance durable en maintenant notre leadership et en accroissant la part de marché de nos viandes durables, dont la marque phare Greenfield Natural </w:t>
      </w:r>
      <w:proofErr w:type="spellStart"/>
      <w:r w:rsidRPr="007D4280">
        <w:rPr>
          <w:sz w:val="18"/>
        </w:rPr>
        <w:t>Meat</w:t>
      </w:r>
      <w:proofErr w:type="spellEnd"/>
      <w:r w:rsidRPr="007D4280">
        <w:rPr>
          <w:sz w:val="18"/>
        </w:rPr>
        <w:t> Co.</w:t>
      </w:r>
      <w:r w:rsidRPr="007D4280">
        <w:rPr>
          <w:sz w:val="18"/>
          <w:vertAlign w:val="superscript"/>
        </w:rPr>
        <w:t>®</w:t>
      </w:r>
      <w:r w:rsidRPr="007D4280">
        <w:rPr>
          <w:sz w:val="18"/>
        </w:rPr>
        <w:t>.</w:t>
      </w:r>
    </w:p>
    <w:p w14:paraId="00D74F2B" w14:textId="4A621CB0" w:rsidR="00AA5117" w:rsidRPr="007D4280" w:rsidRDefault="00152032" w:rsidP="00AA5117">
      <w:pPr>
        <w:pStyle w:val="ListParagraph"/>
        <w:shd w:val="clear" w:color="auto" w:fill="FFFFFF" w:themeFill="background1"/>
        <w:autoSpaceDE/>
        <w:autoSpaceDN/>
        <w:adjustRightInd/>
        <w:spacing w:before="120" w:line="278" w:lineRule="auto"/>
        <w:ind w:left="720" w:firstLine="0"/>
        <w:rPr>
          <w:rFonts w:eastAsia="Arial"/>
          <w:i/>
          <w:iCs/>
          <w:sz w:val="18"/>
          <w:szCs w:val="18"/>
        </w:rPr>
      </w:pPr>
      <w:r w:rsidRPr="007D4280">
        <w:rPr>
          <w:i/>
          <w:sz w:val="18"/>
        </w:rPr>
        <w:t>Offrir de meilleurs soins pour nos employés et nos collectivités et les animaux dont nous sommes responsables</w:t>
      </w:r>
    </w:p>
    <w:p w14:paraId="06DE00EC" w14:textId="77777777" w:rsidR="00BF01A8" w:rsidRPr="007D4280" w:rsidRDefault="00BF01A8"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Notre équipe</w:t>
      </w:r>
    </w:p>
    <w:p w14:paraId="0DD60E24" w14:textId="77777777" w:rsidR="00BF01A8" w:rsidRPr="007D4280" w:rsidRDefault="00BF01A8" w:rsidP="003E4920">
      <w:pPr>
        <w:pStyle w:val="ListParagraph"/>
        <w:numPr>
          <w:ilvl w:val="2"/>
          <w:numId w:val="20"/>
        </w:numPr>
        <w:shd w:val="clear" w:color="auto" w:fill="FFFFFF" w:themeFill="background1"/>
        <w:autoSpaceDE/>
        <w:autoSpaceDN/>
        <w:adjustRightInd/>
        <w:spacing w:before="0" w:after="60" w:line="278" w:lineRule="auto"/>
        <w:rPr>
          <w:sz w:val="18"/>
          <w:szCs w:val="18"/>
        </w:rPr>
      </w:pPr>
      <w:r w:rsidRPr="007D4280">
        <w:rPr>
          <w:sz w:val="18"/>
        </w:rPr>
        <w:t>Établissement et début de la mise en œuvre d’une stratégie solide et pluriannuelle axée sur les gens afin de renforcer et de mettre à profit les talents de nos employés en se concentrant sur les domaines qui nous aideront à concrétiser notre vision et notre mission.</w:t>
      </w:r>
    </w:p>
    <w:p w14:paraId="67E93B97" w14:textId="77777777" w:rsidR="00BF01A8" w:rsidRPr="007D4280" w:rsidRDefault="00BF01A8" w:rsidP="003E4920">
      <w:pPr>
        <w:pStyle w:val="ListParagraph"/>
        <w:numPr>
          <w:ilvl w:val="2"/>
          <w:numId w:val="20"/>
        </w:numPr>
        <w:shd w:val="clear" w:color="auto" w:fill="FFFFFF" w:themeFill="background1"/>
        <w:autoSpaceDE/>
        <w:autoSpaceDN/>
        <w:adjustRightInd/>
        <w:spacing w:before="0" w:after="60" w:line="278" w:lineRule="auto"/>
        <w:rPr>
          <w:sz w:val="18"/>
          <w:szCs w:val="18"/>
        </w:rPr>
      </w:pPr>
      <w:r w:rsidRPr="007D4280">
        <w:rPr>
          <w:sz w:val="18"/>
        </w:rPr>
        <w:t>Offre aux salariés deux jours payés par année pour faire du bénévolat pour des causes qui leur tiennent à cœur et encouragement à participer à des activités de bénévolat coordonnées par un réseau d’employés « champions du bénévolat » par l’entremise du programme Rehausser le bien-être dans son voisinage.</w:t>
      </w:r>
    </w:p>
    <w:p w14:paraId="799FF8C0" w14:textId="77777777" w:rsidR="00BF01A8" w:rsidRPr="007D4280" w:rsidRDefault="00BF01A8"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Nos collectivités</w:t>
      </w:r>
    </w:p>
    <w:p w14:paraId="0916E958" w14:textId="77777777" w:rsidR="00BF01A8" w:rsidRPr="007D4280" w:rsidRDefault="00BF01A8" w:rsidP="003E4920">
      <w:pPr>
        <w:pStyle w:val="ListParagraph"/>
        <w:numPr>
          <w:ilvl w:val="2"/>
          <w:numId w:val="20"/>
        </w:numPr>
        <w:shd w:val="clear" w:color="auto" w:fill="FFFFFF" w:themeFill="background1"/>
        <w:autoSpaceDE/>
        <w:autoSpaceDN/>
        <w:adjustRightInd/>
        <w:spacing w:before="0" w:after="60" w:line="278" w:lineRule="auto"/>
        <w:rPr>
          <w:sz w:val="18"/>
          <w:szCs w:val="18"/>
        </w:rPr>
      </w:pPr>
      <w:r w:rsidRPr="007D4280">
        <w:rPr>
          <w:sz w:val="18"/>
        </w:rPr>
        <w:t>Progression de l’objectif de la Société consistant à collaborer avec tous les secteurs pour réduire de 50 % l’insécurité alimentaire au Canada d’ici 2030, avec un engagement de 16,5 millions de dollars dans 45 initiatives ciblées au cours des neuf dernières années, jusqu’à la fin de 2025.</w:t>
      </w:r>
    </w:p>
    <w:p w14:paraId="4A3CBFF3" w14:textId="0A6C64CD" w:rsidR="00A547C3" w:rsidRPr="007D4280" w:rsidRDefault="00A547C3"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Leadership mondial en matière de sécurité</w:t>
      </w:r>
    </w:p>
    <w:p w14:paraId="47B3591C" w14:textId="7B63BE26" w:rsidR="00A547C3" w:rsidRPr="007D4280" w:rsidRDefault="00A547C3" w:rsidP="003E4920">
      <w:pPr>
        <w:pStyle w:val="ListParagraph"/>
        <w:numPr>
          <w:ilvl w:val="2"/>
          <w:numId w:val="20"/>
        </w:numPr>
        <w:shd w:val="clear" w:color="auto" w:fill="FFFFFF" w:themeFill="background1"/>
        <w:autoSpaceDE/>
        <w:autoSpaceDN/>
        <w:adjustRightInd/>
        <w:spacing w:before="0" w:after="60" w:line="278" w:lineRule="auto"/>
        <w:rPr>
          <w:sz w:val="18"/>
          <w:szCs w:val="18"/>
        </w:rPr>
      </w:pPr>
      <w:r w:rsidRPr="007D4280">
        <w:rPr>
          <w:sz w:val="18"/>
        </w:rPr>
        <w:t>Maintien d’une position de chef de file de l’industrie en matière de sécurité au travail avec une amélioration de 94,7 % de son taux d’incidents enregistrables en usine depuis 2012, et l’atteinte de l’objectif de zéro blessure dans 15 usines (au 31 décembre 2025 et excluant Canada Packers). Le taux total d’incidents enregistrables se situe dans le quartile supérieur de l’ensemble du secteur manufacturier nord-américain.</w:t>
      </w:r>
    </w:p>
    <w:p w14:paraId="7F2EFE82" w14:textId="34864928" w:rsidR="00A547C3" w:rsidRPr="007D4280" w:rsidRDefault="00A547C3" w:rsidP="003E4920">
      <w:pPr>
        <w:pStyle w:val="ListParagraph"/>
        <w:numPr>
          <w:ilvl w:val="1"/>
          <w:numId w:val="20"/>
        </w:numPr>
        <w:shd w:val="clear" w:color="auto" w:fill="FFFFFF" w:themeFill="background1"/>
        <w:spacing w:after="60" w:line="278" w:lineRule="auto"/>
        <w:rPr>
          <w:sz w:val="18"/>
          <w:szCs w:val="18"/>
        </w:rPr>
      </w:pPr>
      <w:r w:rsidRPr="007D4280">
        <w:rPr>
          <w:sz w:val="18"/>
        </w:rPr>
        <w:t>Établir la norme en matière de soins des animaux</w:t>
      </w:r>
    </w:p>
    <w:p w14:paraId="3FFF1DCB" w14:textId="77777777" w:rsidR="00A547C3" w:rsidRPr="007D4280" w:rsidRDefault="00A547C3" w:rsidP="003E4920">
      <w:pPr>
        <w:pStyle w:val="ListParagraph"/>
        <w:numPr>
          <w:ilvl w:val="2"/>
          <w:numId w:val="20"/>
        </w:numPr>
        <w:shd w:val="clear" w:color="auto" w:fill="FFFFFF" w:themeFill="background1"/>
        <w:autoSpaceDE/>
        <w:autoSpaceDN/>
        <w:adjustRightInd/>
        <w:spacing w:before="0" w:after="60" w:line="278" w:lineRule="auto"/>
        <w:rPr>
          <w:sz w:val="18"/>
          <w:szCs w:val="18"/>
        </w:rPr>
      </w:pPr>
      <w:r w:rsidRPr="007D4280">
        <w:rPr>
          <w:sz w:val="18"/>
        </w:rPr>
        <w:t>Investissement dans l’étourdissement sous atmosphère contrôlée sans cruauté dans toutes les usines de volaille afin d’améliorer le bien-être de la volaille lors de la transformation.</w:t>
      </w:r>
    </w:p>
    <w:p w14:paraId="2D3EC9F1" w14:textId="77777777" w:rsidR="00A547C3" w:rsidRPr="007D4280" w:rsidRDefault="00A547C3" w:rsidP="003E4920">
      <w:pPr>
        <w:pStyle w:val="ListParagraph"/>
        <w:numPr>
          <w:ilvl w:val="2"/>
          <w:numId w:val="20"/>
        </w:numPr>
        <w:shd w:val="clear" w:color="auto" w:fill="FFFFFF" w:themeFill="background1"/>
        <w:autoSpaceDE/>
        <w:autoSpaceDN/>
        <w:adjustRightInd/>
        <w:spacing w:before="0" w:after="60" w:line="278" w:lineRule="auto"/>
        <w:rPr>
          <w:sz w:val="18"/>
          <w:szCs w:val="18"/>
        </w:rPr>
      </w:pPr>
      <w:r w:rsidRPr="007D4280">
        <w:rPr>
          <w:sz w:val="18"/>
        </w:rPr>
        <w:t>Achèvement de la construction de deux couvoirs d’œufs d’incubation de pointe afin d’améliorer les conditions environnementales des oiseaux, le bien-être animal et l’environnement de travail pour les membres de notre équipe.</w:t>
      </w:r>
    </w:p>
    <w:p w14:paraId="287D0F4E" w14:textId="1CB085E7" w:rsidR="00A547C3" w:rsidRPr="007D4280" w:rsidRDefault="00A547C3" w:rsidP="003E4920">
      <w:pPr>
        <w:pStyle w:val="ListParagraph"/>
        <w:numPr>
          <w:ilvl w:val="2"/>
          <w:numId w:val="20"/>
        </w:numPr>
        <w:shd w:val="clear" w:color="auto" w:fill="FFFFFF" w:themeFill="background1"/>
        <w:spacing w:after="60" w:line="278" w:lineRule="auto"/>
        <w:rPr>
          <w:sz w:val="18"/>
          <w:szCs w:val="18"/>
        </w:rPr>
      </w:pPr>
      <w:r w:rsidRPr="007D4280">
        <w:rPr>
          <w:sz w:val="18"/>
        </w:rPr>
        <w:t>Leadership dans l’élevage sans antibiotiques pour le poulet et le porc.</w:t>
      </w:r>
    </w:p>
    <w:p w14:paraId="007F59F2" w14:textId="77777777" w:rsidR="00B34210" w:rsidRPr="007D4280" w:rsidRDefault="00B34210" w:rsidP="003E4920">
      <w:pPr>
        <w:pStyle w:val="ListParagraph"/>
        <w:numPr>
          <w:ilvl w:val="0"/>
          <w:numId w:val="20"/>
        </w:numPr>
        <w:shd w:val="clear" w:color="auto" w:fill="FFFFFF" w:themeFill="background1"/>
        <w:autoSpaceDE/>
        <w:autoSpaceDN/>
        <w:adjustRightInd/>
        <w:spacing w:before="120" w:line="278" w:lineRule="auto"/>
        <w:rPr>
          <w:rFonts w:eastAsia="Arial"/>
          <w:i/>
          <w:iCs/>
          <w:sz w:val="18"/>
          <w:szCs w:val="18"/>
        </w:rPr>
      </w:pPr>
      <w:bookmarkStart w:id="9" w:name="_Hlk190267732"/>
      <w:r w:rsidRPr="007D4280">
        <w:rPr>
          <w:i/>
          <w:sz w:val="18"/>
        </w:rPr>
        <w:t>Entretenir une meilleure planète</w:t>
      </w:r>
    </w:p>
    <w:p w14:paraId="214AB887" w14:textId="2A69CE21"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Réductions continues des émissions absolues des champs d’application 1 et 2 et de l’intensité des émissions du champ de portée 3 par rapport à l’exercice de référence 2018.</w:t>
      </w:r>
    </w:p>
    <w:p w14:paraId="4A95E29E" w14:textId="39DC916D"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Extension des pratiques d’agriculture régénérative à 250 000 acres au sein de la chaîne d’approvisionnement agricole de la Société, soit une multiplication par 12 depuis 2021.</w:t>
      </w:r>
    </w:p>
    <w:p w14:paraId="73239D7D" w14:textId="3DA4A998"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 xml:space="preserve">Atteinte d’un taux de 98 % de détournement des déchets alimentaires des sites d’enfouissement pour les réutiliser à des fins plus productives, comme l’équarrissage, la </w:t>
      </w:r>
      <w:proofErr w:type="spellStart"/>
      <w:r w:rsidRPr="007D4280">
        <w:rPr>
          <w:sz w:val="18"/>
        </w:rPr>
        <w:t>biodigestion</w:t>
      </w:r>
      <w:proofErr w:type="spellEnd"/>
      <w:r w:rsidRPr="007D4280">
        <w:rPr>
          <w:sz w:val="18"/>
        </w:rPr>
        <w:t xml:space="preserve"> ou le compostage.</w:t>
      </w:r>
    </w:p>
    <w:p w14:paraId="1C080604" w14:textId="52CC3FB8" w:rsidR="00B34210" w:rsidRPr="007D4280" w:rsidRDefault="00B34210"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 xml:space="preserve">Atteinte d’un taux de détournement des sites d’enfouissement de 94 % à l’échelle de la Société. </w:t>
      </w:r>
    </w:p>
    <w:p w14:paraId="7E9A803B" w14:textId="21DC3F80" w:rsidR="00AA5117" w:rsidRPr="007D4280" w:rsidRDefault="00152032" w:rsidP="003E4920">
      <w:pPr>
        <w:pStyle w:val="ListParagraph"/>
        <w:numPr>
          <w:ilvl w:val="1"/>
          <w:numId w:val="20"/>
        </w:numPr>
        <w:shd w:val="clear" w:color="auto" w:fill="FFFFFF" w:themeFill="background1"/>
        <w:autoSpaceDE/>
        <w:autoSpaceDN/>
        <w:adjustRightInd/>
        <w:spacing w:before="0" w:after="120" w:line="278" w:lineRule="auto"/>
        <w:rPr>
          <w:sz w:val="18"/>
          <w:szCs w:val="18"/>
        </w:rPr>
      </w:pPr>
      <w:r w:rsidRPr="007D4280">
        <w:rPr>
          <w:sz w:val="18"/>
        </w:rPr>
        <w:t>Progression vers l’objectif d’atteindre 100 % d’emballages durables grâce à des efforts continus pour cerner et tester des options d’emballage durable.</w:t>
      </w:r>
    </w:p>
    <w:bookmarkEnd w:id="9"/>
    <w:p w14:paraId="107FA344" w14:textId="2BF78AFB" w:rsidR="00AA5117" w:rsidRPr="007D4280" w:rsidRDefault="00152032" w:rsidP="003E4920">
      <w:pPr>
        <w:pStyle w:val="ListParagraph"/>
        <w:numPr>
          <w:ilvl w:val="0"/>
          <w:numId w:val="19"/>
        </w:numPr>
        <w:tabs>
          <w:tab w:val="clear" w:pos="720"/>
          <w:tab w:val="num" w:pos="450"/>
        </w:tabs>
        <w:spacing w:before="240" w:after="120" w:line="300" w:lineRule="auto"/>
        <w:ind w:left="461" w:hanging="274"/>
        <w:rPr>
          <w:rFonts w:eastAsia="Arial"/>
          <w:sz w:val="18"/>
        </w:rPr>
      </w:pPr>
      <w:r w:rsidRPr="007D4280">
        <w:rPr>
          <w:b/>
          <w:sz w:val="18"/>
        </w:rPr>
        <w:t>Développer des marques bien-aimées :</w:t>
      </w:r>
      <w:r w:rsidRPr="007D4280">
        <w:rPr>
          <w:sz w:val="18"/>
        </w:rPr>
        <w:t xml:space="preserve"> Pour ce faire, la Société s’engage à renforcer la pertinence de sa gamme de marques de premier plan, à faire preuve d’innovation et à miser sur ses capacités uniques. Voici quelques réalisations des dernières années.</w:t>
      </w:r>
    </w:p>
    <w:p w14:paraId="0BA714AA" w14:textId="7347F72B"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 xml:space="preserve">Dans le cadre d’un partenariat pluriannuel conclu avec le Comité olympique canadien, les Aliments Maple Leaf devient le partenaire officiel d’Équipe Canada en matière de protéines pour les Jeux olympiques de Milan-Cortina en 2026 et jusqu’aux Jeux olympiques de Los Angeles en 2028.  </w:t>
      </w:r>
    </w:p>
    <w:p w14:paraId="23D070A3" w14:textId="77777777"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 xml:space="preserve">Lancement de deux nouvelles marques phares en 2025 : Mighty </w:t>
      </w:r>
      <w:proofErr w:type="spellStart"/>
      <w:r w:rsidRPr="007D4280">
        <w:rPr>
          <w:sz w:val="18"/>
        </w:rPr>
        <w:t>Protein</w:t>
      </w:r>
      <w:proofErr w:type="spellEnd"/>
      <w:r w:rsidRPr="007D4280">
        <w:rPr>
          <w:sz w:val="18"/>
        </w:rPr>
        <w:t xml:space="preserve"> (bâtonnets de viande riches en protéines, sans gluten ni sucre, élaborés à partir de volaille élevée sans antibiotiques ni hormones de croissance) et </w:t>
      </w:r>
      <w:proofErr w:type="spellStart"/>
      <w:r w:rsidRPr="007D4280">
        <w:rPr>
          <w:sz w:val="18"/>
        </w:rPr>
        <w:t>Musafir</w:t>
      </w:r>
      <w:proofErr w:type="spellEnd"/>
      <w:r w:rsidRPr="007D4280">
        <w:rPr>
          <w:sz w:val="18"/>
        </w:rPr>
        <w:t xml:space="preserve"> (plats surgelés prêts à consommer inspirés de la cuisine sud-asiatique).</w:t>
      </w:r>
    </w:p>
    <w:p w14:paraId="0E7DDD82" w14:textId="3F4F09E3"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Accélération du rythme de l’innovation percutante, avec le lancement de 50 nouvelles unités de gestion des stocks (UGS) en 2024 et de plus de 50 nouvelles UGS en 2025.</w:t>
      </w:r>
    </w:p>
    <w:p w14:paraId="0DA771DC" w14:textId="30765530"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Investissement dans la promotion de la marque par des campagnes publicitaires novatrices, comme la campagne « La victoire, mais la protéine avant tout »</w:t>
      </w:r>
      <w:r w:rsidR="00072330">
        <w:rPr>
          <w:sz w:val="18"/>
        </w:rPr>
        <w:t>,</w:t>
      </w:r>
      <w:r w:rsidRPr="007D4280">
        <w:rPr>
          <w:sz w:val="18"/>
        </w:rPr>
        <w:t xml:space="preserve"> qui sera lancée en 2026 avec les Jeux olympiques; la campagne « The Hard Way » en 2025 pour sa marque de viandes durables Greenfield Natural </w:t>
      </w:r>
      <w:proofErr w:type="spellStart"/>
      <w:r w:rsidRPr="007D4280">
        <w:rPr>
          <w:sz w:val="18"/>
        </w:rPr>
        <w:t>Meat</w:t>
      </w:r>
      <w:proofErr w:type="spellEnd"/>
      <w:r w:rsidRPr="007D4280">
        <w:rPr>
          <w:sz w:val="18"/>
        </w:rPr>
        <w:t xml:space="preserve"> Co.; la campagne « Choisissez la feuille » en 2025; et la campagne « Négociateurs naturels » de Maple Leaf en 2024 pour les produits Prime élevés sans antibiotiques, les viandes en tranches Natural </w:t>
      </w:r>
      <w:proofErr w:type="spellStart"/>
      <w:r w:rsidRPr="007D4280">
        <w:rPr>
          <w:sz w:val="18"/>
        </w:rPr>
        <w:t>Selections</w:t>
      </w:r>
      <w:proofErr w:type="spellEnd"/>
      <w:r w:rsidRPr="007D4280">
        <w:rPr>
          <w:sz w:val="18"/>
        </w:rPr>
        <w:t xml:space="preserve"> de Maple Leaf, les Saucisses fumées Top Dogs et les produits de bacon Maple Leaf. </w:t>
      </w:r>
    </w:p>
    <w:p w14:paraId="6BC7D026" w14:textId="77777777" w:rsidR="00AA5117" w:rsidRPr="007D4280" w:rsidRDefault="00152032" w:rsidP="003E4920">
      <w:pPr>
        <w:pStyle w:val="ListParagraph"/>
        <w:numPr>
          <w:ilvl w:val="0"/>
          <w:numId w:val="19"/>
        </w:numPr>
        <w:tabs>
          <w:tab w:val="clear" w:pos="720"/>
          <w:tab w:val="num" w:pos="450"/>
        </w:tabs>
        <w:spacing w:before="240" w:after="120" w:line="300" w:lineRule="auto"/>
        <w:ind w:left="461" w:hanging="274"/>
        <w:rPr>
          <w:rFonts w:eastAsia="Arial"/>
          <w:sz w:val="18"/>
        </w:rPr>
      </w:pPr>
      <w:r w:rsidRPr="007D4280">
        <w:rPr>
          <w:b/>
          <w:sz w:val="18"/>
        </w:rPr>
        <w:t>Étendre notre portée :</w:t>
      </w:r>
      <w:r w:rsidRPr="007D4280">
        <w:rPr>
          <w:sz w:val="18"/>
        </w:rPr>
        <w:t xml:space="preserve"> Les Aliments Maple Leaf s’engage à élargir sa portée géographique, à développer de nouveaux canaux et de nouvelles catégories et à diversifier sa gamme de protéines.</w:t>
      </w:r>
      <w:r w:rsidRPr="007D4280">
        <w:rPr>
          <w:b/>
          <w:sz w:val="18"/>
        </w:rPr>
        <w:t xml:space="preserve"> </w:t>
      </w:r>
      <w:r w:rsidRPr="007D4280">
        <w:rPr>
          <w:sz w:val="18"/>
        </w:rPr>
        <w:t>Voici quelques réalisations des dernières années.</w:t>
      </w:r>
    </w:p>
    <w:p w14:paraId="43325D6F" w14:textId="77AB86FE" w:rsidR="00BF01A8"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Clôture de la Scission de Canada Packers, solidifiant la plateforme de biens de consommation courante de la Société et permettant de mettre davantage l’accent sur la croissance.</w:t>
      </w:r>
    </w:p>
    <w:p w14:paraId="6B8929BA" w14:textId="2FE4CFC9" w:rsidR="00AA5117" w:rsidRPr="007D4280" w:rsidRDefault="00BF01A8"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 xml:space="preserve">Intégration des activités liées aux protéines végétales et aux protéines de viande. </w:t>
      </w:r>
    </w:p>
    <w:p w14:paraId="0812C261" w14:textId="76C90023" w:rsidR="00AA5117" w:rsidRPr="007D4280" w:rsidRDefault="00152032"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Élargissement de la présence sur le marché américain en augmentant la distribution de produits de marque et de marques maison et en augmentant la part de marché dans le canal de la vente au détail.</w:t>
      </w:r>
    </w:p>
    <w:p w14:paraId="6CC6DDB4" w14:textId="79A5CCB6" w:rsidR="00AA5117" w:rsidRPr="007D4280" w:rsidRDefault="004A2709" w:rsidP="003E4920">
      <w:pPr>
        <w:pStyle w:val="ListParagraph"/>
        <w:numPr>
          <w:ilvl w:val="1"/>
          <w:numId w:val="20"/>
        </w:numPr>
        <w:shd w:val="clear" w:color="auto" w:fill="FFFFFF" w:themeFill="background1"/>
        <w:autoSpaceDE/>
        <w:autoSpaceDN/>
        <w:adjustRightInd/>
        <w:spacing w:before="0" w:after="60" w:line="278" w:lineRule="auto"/>
        <w:rPr>
          <w:sz w:val="18"/>
          <w:szCs w:val="18"/>
        </w:rPr>
      </w:pPr>
      <w:r w:rsidRPr="007D4280">
        <w:rPr>
          <w:sz w:val="18"/>
        </w:rPr>
        <w:t xml:space="preserve">Expansion dans une nouvelle catégorie connexe avec le lancement de la marque </w:t>
      </w:r>
      <w:proofErr w:type="spellStart"/>
      <w:r w:rsidRPr="007D4280">
        <w:rPr>
          <w:sz w:val="18"/>
        </w:rPr>
        <w:t>Musafir</w:t>
      </w:r>
      <w:proofErr w:type="spellEnd"/>
      <w:r w:rsidRPr="007D4280">
        <w:rPr>
          <w:sz w:val="18"/>
        </w:rPr>
        <w:t>, représentant l’entrée de la Société dans le segment des aliments surgelés à teneur élevée en protéines d’inspiration sud-asiatique.</w:t>
      </w:r>
    </w:p>
    <w:p w14:paraId="243426DF" w14:textId="39BA8151" w:rsidR="00AA5117" w:rsidRPr="007D4280" w:rsidRDefault="00D13836" w:rsidP="003E4920">
      <w:pPr>
        <w:pStyle w:val="ListParagraph"/>
        <w:numPr>
          <w:ilvl w:val="1"/>
          <w:numId w:val="20"/>
        </w:numPr>
        <w:shd w:val="clear" w:color="auto" w:fill="FFFFFF" w:themeFill="background1"/>
        <w:spacing w:after="60" w:line="278" w:lineRule="auto"/>
        <w:rPr>
          <w:sz w:val="18"/>
          <w:szCs w:val="18"/>
        </w:rPr>
      </w:pPr>
      <w:r w:rsidRPr="007D4280">
        <w:rPr>
          <w:sz w:val="18"/>
        </w:rPr>
        <w:t xml:space="preserve">Progression vers l’élargissement de la portée dans le canal des services alimentaires grâce à des efforts visant à approfondir les partenariats stratégiques avec de gros clients et à accroître les points de distribution au Canada et aux États-Unis. </w:t>
      </w:r>
    </w:p>
    <w:p w14:paraId="1DACE28C" w14:textId="1CD6560D" w:rsidR="00AA5117" w:rsidRPr="007D4280" w:rsidRDefault="00152032" w:rsidP="003E4920">
      <w:pPr>
        <w:pStyle w:val="ListParagraph"/>
        <w:numPr>
          <w:ilvl w:val="0"/>
          <w:numId w:val="19"/>
        </w:numPr>
        <w:tabs>
          <w:tab w:val="clear" w:pos="720"/>
          <w:tab w:val="num" w:pos="450"/>
        </w:tabs>
        <w:spacing w:before="240" w:after="120" w:line="300" w:lineRule="auto"/>
        <w:ind w:left="461" w:hanging="274"/>
        <w:rPr>
          <w:rFonts w:eastAsia="Arial"/>
          <w:sz w:val="18"/>
        </w:rPr>
      </w:pPr>
      <w:r w:rsidRPr="007D4280">
        <w:rPr>
          <w:b/>
          <w:sz w:val="18"/>
        </w:rPr>
        <w:t>Rechercher l’excellence dans nos activités :</w:t>
      </w:r>
      <w:r w:rsidRPr="007D4280">
        <w:rPr>
          <w:sz w:val="18"/>
        </w:rPr>
        <w:t xml:space="preserve"> La Société s’engage à exploiter des technologies de pointe en appliquant la science des données et l’analytique et en améliorant la rentabilité. Voici quelques réalisations des dernières années.</w:t>
      </w:r>
    </w:p>
    <w:p w14:paraId="0C7BC770" w14:textId="5A80A9BE"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 xml:space="preserve">Gains d’efficacité opérationnelle dans ses usines, grâce à l’achèvement de projets d’immobilisation clés et à l’établissement de centres d’excellence (voir </w:t>
      </w:r>
      <w:r w:rsidRPr="007D4280">
        <w:rPr>
          <w:i/>
          <w:sz w:val="18"/>
        </w:rPr>
        <w:t>Récolter les avantages des grands projets d’immobilisations</w:t>
      </w:r>
      <w:r w:rsidRPr="007D4280">
        <w:rPr>
          <w:sz w:val="18"/>
        </w:rPr>
        <w:t xml:space="preserve"> ci-dessus).</w:t>
      </w:r>
    </w:p>
    <w:p w14:paraId="039EDE78" w14:textId="1B4E1BE1"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 xml:space="preserve">Réalisation d’un projet d’optimisation de l’approvisionnement qui a permis d’améliorer les économies, l’extensibilité et l’agilité de la chaîne logistique (voir </w:t>
      </w:r>
      <w:r w:rsidRPr="007D4280">
        <w:rPr>
          <w:i/>
          <w:sz w:val="18"/>
        </w:rPr>
        <w:t>Alimentons la croissance : optimisation de la chaîne d’approvisionnement et améliorations des dépenses de ventes et d’administration</w:t>
      </w:r>
      <w:r w:rsidRPr="007D4280">
        <w:rPr>
          <w:sz w:val="18"/>
        </w:rPr>
        <w:t xml:space="preserve"> ci-dessus).</w:t>
      </w:r>
    </w:p>
    <w:p w14:paraId="00C95FB7" w14:textId="679D3B4B"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 xml:space="preserve">Mise en œuvre d’un examen stratégique du réseau de production et d’exploitation de la Société, et commencer à mettre en œuvre des initiatives visant à optimiser l’utilisation des capacités, à rationaliser son implantation géographique, à adopter des technologies de pointe et à ancrer l’excellence opérationnelle dans l’ensemble de ses processus (voir </w:t>
      </w:r>
      <w:r w:rsidRPr="007D4280">
        <w:rPr>
          <w:i/>
          <w:sz w:val="18"/>
        </w:rPr>
        <w:t>Alimentons la croissance : optimisation de la chaîne d’approvisionnement et améliorations des dépenses de ventes et d’administration</w:t>
      </w:r>
      <w:r w:rsidRPr="007D4280">
        <w:rPr>
          <w:sz w:val="18"/>
        </w:rPr>
        <w:t xml:space="preserve"> ci-dessus).</w:t>
      </w:r>
    </w:p>
    <w:p w14:paraId="0C2C87EB" w14:textId="68AB4D6A" w:rsidR="0085183D"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 xml:space="preserve">Poursuivre les efforts pour maintenir des plateformes modernes et intégrer des technologies novatrices, comme les modèles d’intelligence artificielle et d’apprentissage machine et la technologie de l’automatisation. </w:t>
      </w:r>
    </w:p>
    <w:p w14:paraId="15335E7C" w14:textId="77777777" w:rsidR="00AA5117" w:rsidRPr="007D4280" w:rsidRDefault="00152032" w:rsidP="003E4920">
      <w:pPr>
        <w:pStyle w:val="ListParagraph"/>
        <w:numPr>
          <w:ilvl w:val="0"/>
          <w:numId w:val="19"/>
        </w:numPr>
        <w:tabs>
          <w:tab w:val="clear" w:pos="720"/>
          <w:tab w:val="num" w:pos="450"/>
        </w:tabs>
        <w:spacing w:before="240" w:after="120" w:line="300" w:lineRule="auto"/>
        <w:ind w:left="461" w:hanging="274"/>
        <w:rPr>
          <w:sz w:val="18"/>
          <w:szCs w:val="18"/>
        </w:rPr>
      </w:pPr>
      <w:bookmarkStart w:id="10" w:name="_Hlk220310576"/>
      <w:r w:rsidRPr="007D4280">
        <w:rPr>
          <w:b/>
          <w:sz w:val="18"/>
        </w:rPr>
        <w:t>Mettre en valeur des talents prodigieux :</w:t>
      </w:r>
      <w:r w:rsidRPr="007D4280">
        <w:rPr>
          <w:sz w:val="18"/>
        </w:rPr>
        <w:t xml:space="preserve"> Les Aliments Maple Leaf est profondément engagée à intégrer sa culture axée sur les valeurs, à miser sur des chefs prêts pour l’avenir et à inspirer un engagement durable. Voici quelques réalisations des dernières années.</w:t>
      </w:r>
    </w:p>
    <w:bookmarkEnd w:id="10"/>
    <w:p w14:paraId="6EBC7D35" w14:textId="48AF2638"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 xml:space="preserve">Lancement d’un nouveau processus de gestion du rendement qui favorise des conversations continues, franches et axées sur la croissance, et qui assure l’harmonisation des objectifs avec les priorités de la Société. </w:t>
      </w:r>
    </w:p>
    <w:p w14:paraId="501C4301" w14:textId="77777777"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Mise en place d’un processus de rétroaction omnidirectionnelle pour renforcer la sensibilisation de l’équipe de leadership.</w:t>
      </w:r>
    </w:p>
    <w:p w14:paraId="674354CD" w14:textId="6442ABEA"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 xml:space="preserve">Progression du développement du leadership de la Société grâce à des programmes phares, tels que les programmes Ivey </w:t>
      </w:r>
      <w:proofErr w:type="spellStart"/>
      <w:r w:rsidRPr="007D4280">
        <w:rPr>
          <w:sz w:val="18"/>
        </w:rPr>
        <w:t>Foundations</w:t>
      </w:r>
      <w:proofErr w:type="spellEnd"/>
      <w:r w:rsidRPr="007D4280">
        <w:rPr>
          <w:sz w:val="18"/>
        </w:rPr>
        <w:t xml:space="preserve"> et Femmes aux postes de direction, et élargissement de l’accès à LinkedIn Learning à tous les salariés.</w:t>
      </w:r>
    </w:p>
    <w:p w14:paraId="1D193BB4" w14:textId="39D517E7" w:rsidR="00AA5117" w:rsidRPr="007D4280" w:rsidRDefault="00152032" w:rsidP="003E4920">
      <w:pPr>
        <w:pStyle w:val="ListParagraph"/>
        <w:numPr>
          <w:ilvl w:val="1"/>
          <w:numId w:val="20"/>
        </w:numPr>
        <w:autoSpaceDE/>
        <w:autoSpaceDN/>
        <w:adjustRightInd/>
        <w:spacing w:before="0" w:after="60" w:line="278" w:lineRule="auto"/>
        <w:rPr>
          <w:sz w:val="18"/>
          <w:szCs w:val="18"/>
        </w:rPr>
      </w:pPr>
      <w:r w:rsidRPr="007D4280">
        <w:rPr>
          <w:sz w:val="18"/>
        </w:rPr>
        <w:t>Élargissement du sondage sur l’engagement de la Société en 2024 afin d’inclure les membres de l’équipe de première ligne et augmentation du taux de participation de 21 points de pourcentage en 2025.</w:t>
      </w:r>
    </w:p>
    <w:p w14:paraId="1CDB79E4" w14:textId="14F68CEA" w:rsidR="00577ACA" w:rsidRPr="007D4280" w:rsidRDefault="00152032" w:rsidP="008C3B50">
      <w:pPr>
        <w:pStyle w:val="ListParagraph"/>
        <w:numPr>
          <w:ilvl w:val="1"/>
          <w:numId w:val="20"/>
        </w:numPr>
        <w:autoSpaceDE/>
        <w:autoSpaceDN/>
        <w:adjustRightInd/>
        <w:spacing w:before="0" w:after="60" w:line="278" w:lineRule="auto"/>
        <w:rPr>
          <w:sz w:val="18"/>
          <w:szCs w:val="18"/>
        </w:rPr>
      </w:pPr>
      <w:r w:rsidRPr="007D4280">
        <w:rPr>
          <w:sz w:val="18"/>
        </w:rPr>
        <w:t>Tenue de plus de 50 cafés-causeries (en 2025) avec de hauts dirigeants afin de stimuler l’engagement et de renforcer le lien entre les membres de l’équipe et la direction.</w:t>
      </w:r>
    </w:p>
    <w:p w14:paraId="3C4DEB4B" w14:textId="77777777" w:rsidR="00124E60" w:rsidRPr="007D4280" w:rsidRDefault="00152032" w:rsidP="00BD7E95">
      <w:pPr>
        <w:pStyle w:val="AIF-Level1"/>
        <w:widowControl/>
        <w:outlineLvl w:val="0"/>
      </w:pPr>
      <w:bookmarkStart w:id="11" w:name="_Toc226985969"/>
      <w:bookmarkStart w:id="12" w:name="_Hlk186792756"/>
      <w:bookmarkEnd w:id="7"/>
      <w:r w:rsidRPr="007D4280">
        <w:t>DESCRIPTION DES ACTIVITÉS</w:t>
      </w:r>
      <w:bookmarkEnd w:id="11"/>
    </w:p>
    <w:p w14:paraId="3B6575F9" w14:textId="77777777" w:rsidR="00124E60" w:rsidRPr="007D4280" w:rsidRDefault="00152032" w:rsidP="004A454D">
      <w:pPr>
        <w:pStyle w:val="BodyText"/>
        <w:rPr>
          <w:b/>
          <w:bCs/>
        </w:rPr>
      </w:pPr>
      <w:r w:rsidRPr="007D4280">
        <w:rPr>
          <w:b/>
        </w:rPr>
        <w:t>Aperçu</w:t>
      </w:r>
    </w:p>
    <w:p w14:paraId="7B36C479" w14:textId="07FBD4A7" w:rsidR="0071117C" w:rsidRPr="007D4280" w:rsidRDefault="00E90328" w:rsidP="00E90328">
      <w:pPr>
        <w:spacing w:after="120" w:line="300" w:lineRule="auto"/>
      </w:pPr>
      <w:bookmarkStart w:id="13" w:name="_Hlk223116306"/>
      <w:r w:rsidRPr="007D4280">
        <w:rPr>
          <w:rFonts w:ascii="Arial" w:hAnsi="Arial"/>
          <w:sz w:val="18"/>
        </w:rPr>
        <w:t>Les Aliments Maple Leaf est une société de premier plan, centrée sur les objectifs et proposant des biens de consommation courante de marque, axés sur les protéines. Elle est fière de produire des aliments délicieux, fabriqués de façon responsable, sous des marques de premier plan comme Maple Leaf®, Prime de Maple Leaf®, Natural </w:t>
      </w:r>
      <w:proofErr w:type="spellStart"/>
      <w:r w:rsidRPr="007D4280">
        <w:rPr>
          <w:rFonts w:ascii="Arial" w:hAnsi="Arial"/>
          <w:sz w:val="18"/>
        </w:rPr>
        <w:t>Selections</w:t>
      </w:r>
      <w:proofErr w:type="spellEnd"/>
      <w:r w:rsidRPr="007D4280">
        <w:rPr>
          <w:rFonts w:ascii="Arial" w:hAnsi="Arial"/>
          <w:sz w:val="18"/>
        </w:rPr>
        <w:t xml:space="preserve"> de Maple Leaf®, Mighty </w:t>
      </w:r>
      <w:proofErr w:type="spellStart"/>
      <w:r w:rsidRPr="007D4280">
        <w:rPr>
          <w:rFonts w:ascii="Arial" w:hAnsi="Arial"/>
          <w:sz w:val="18"/>
        </w:rPr>
        <w:t>Protein</w:t>
      </w:r>
      <w:proofErr w:type="spellEnd"/>
      <w:r w:rsidRPr="007D4280">
        <w:rPr>
          <w:rFonts w:ascii="Arial" w:hAnsi="Arial"/>
          <w:sz w:val="18"/>
        </w:rPr>
        <w:t xml:space="preserve">™ de Maple Leaf®, </w:t>
      </w:r>
      <w:proofErr w:type="spellStart"/>
      <w:r w:rsidRPr="007D4280">
        <w:rPr>
          <w:rFonts w:ascii="Arial" w:hAnsi="Arial"/>
          <w:sz w:val="18"/>
        </w:rPr>
        <w:t>Musafir</w:t>
      </w:r>
      <w:proofErr w:type="spellEnd"/>
      <w:r w:rsidRPr="007D4280">
        <w:rPr>
          <w:rFonts w:ascii="Arial" w:hAnsi="Arial"/>
          <w:sz w:val="18"/>
        </w:rPr>
        <w:t xml:space="preserve">™, Schneiders®, Mina®, Greenfield Natural </w:t>
      </w:r>
      <w:proofErr w:type="spellStart"/>
      <w:r w:rsidRPr="007D4280">
        <w:rPr>
          <w:rFonts w:ascii="Arial" w:hAnsi="Arial"/>
          <w:sz w:val="18"/>
        </w:rPr>
        <w:t>Meat</w:t>
      </w:r>
      <w:proofErr w:type="spellEnd"/>
      <w:r w:rsidRPr="007D4280">
        <w:rPr>
          <w:rFonts w:ascii="Arial" w:hAnsi="Arial"/>
          <w:sz w:val="18"/>
        </w:rPr>
        <w:t xml:space="preserve"> Co.®, </w:t>
      </w:r>
      <w:proofErr w:type="spellStart"/>
      <w:r w:rsidRPr="007D4280">
        <w:rPr>
          <w:rFonts w:ascii="Arial" w:hAnsi="Arial"/>
          <w:sz w:val="18"/>
        </w:rPr>
        <w:t>LightLife</w:t>
      </w:r>
      <w:proofErr w:type="spellEnd"/>
      <w:r w:rsidRPr="007D4280">
        <w:rPr>
          <w:rFonts w:ascii="Arial" w:hAnsi="Arial"/>
          <w:sz w:val="18"/>
        </w:rPr>
        <w:t>® et Field </w:t>
      </w:r>
      <w:proofErr w:type="spellStart"/>
      <w:r w:rsidRPr="007D4280">
        <w:rPr>
          <w:rFonts w:ascii="Arial" w:hAnsi="Arial"/>
          <w:sz w:val="18"/>
        </w:rPr>
        <w:t>Roast</w:t>
      </w:r>
      <w:proofErr w:type="spellEnd"/>
      <w:r w:rsidRPr="007D4280">
        <w:rPr>
          <w:rFonts w:ascii="Arial" w:hAnsi="Arial"/>
          <w:sz w:val="18"/>
        </w:rPr>
        <w:t xml:space="preserve">™. </w:t>
      </w:r>
    </w:p>
    <w:bookmarkEnd w:id="13"/>
    <w:p w14:paraId="3CA139B7" w14:textId="632A669E" w:rsidR="005D2BE3" w:rsidRPr="007D4280" w:rsidRDefault="00152032" w:rsidP="005D2BE3">
      <w:pPr>
        <w:pStyle w:val="BodyText"/>
        <w:rPr>
          <w:rFonts w:eastAsia="Arial"/>
        </w:rPr>
      </w:pPr>
      <w:r w:rsidRPr="007D4280">
        <w:t>Ses marques de viandes emballées bien-aimées et reconnues au Canada, notamment Schneiders® et Maple Leaf®, occupent les première et deuxième positions</w:t>
      </w:r>
      <w:r w:rsidR="00345733" w:rsidRPr="007D4280">
        <w:rPr>
          <w:rStyle w:val="FootnoteReference"/>
        </w:rPr>
        <w:footnoteReference w:id="1"/>
      </w:r>
      <w:r w:rsidRPr="007D4280">
        <w:t xml:space="preserve"> dans cette catégorie. De plus, les Aliments Maple Leaf détient la première marque de viandes emballées durables au Canada et la première marque sans antibiotiques dans les catégories des trousses-repas, du bacon et du jambon aux États-Unis, grâce à Greenfield Natural </w:t>
      </w:r>
      <w:proofErr w:type="spellStart"/>
      <w:r w:rsidRPr="007D4280">
        <w:t>Meat</w:t>
      </w:r>
      <w:proofErr w:type="spellEnd"/>
      <w:r w:rsidRPr="007D4280">
        <w:t xml:space="preserve"> Co.®. Dans le secteur de la volaille, sa marque Prime de Maple Leaf® est la première marque canadienne de volaille fraîche, tandis que Mina® est la première marque de volaille halal au Canada. Grâce à ses marques phares de protéines végétales, notamment </w:t>
      </w:r>
      <w:proofErr w:type="spellStart"/>
      <w:r w:rsidRPr="007D4280">
        <w:t>LightLife</w:t>
      </w:r>
      <w:proofErr w:type="spellEnd"/>
      <w:r w:rsidRPr="007D4280">
        <w:t xml:space="preserve">® et Field </w:t>
      </w:r>
      <w:proofErr w:type="spellStart"/>
      <w:r w:rsidRPr="007D4280">
        <w:t>Roast</w:t>
      </w:r>
      <w:proofErr w:type="spellEnd"/>
      <w:r w:rsidRPr="007D4280">
        <w:t xml:space="preserve">™, les Aliments Maple Leaf occupe la première place dans les catégories du </w:t>
      </w:r>
      <w:proofErr w:type="spellStart"/>
      <w:r w:rsidRPr="007D4280">
        <w:t>tempeh</w:t>
      </w:r>
      <w:proofErr w:type="spellEnd"/>
      <w:r w:rsidRPr="007D4280">
        <w:t>, des saucisses à hot-dog à base végétale, des saucisses à base végétale et du bacon à base végétale.</w:t>
      </w:r>
    </w:p>
    <w:p w14:paraId="5C3DEDE1" w14:textId="06A432EC" w:rsidR="00AA5117" w:rsidRPr="007D4280" w:rsidRDefault="00152032" w:rsidP="00AA5117">
      <w:pPr>
        <w:pStyle w:val="BodyText"/>
        <w:rPr>
          <w:rFonts w:eastAsia="Arial"/>
        </w:rPr>
      </w:pPr>
      <w:r w:rsidRPr="007D4280">
        <w:t xml:space="preserve">La Société propose une gamme d’aliments préparés et de volaille, comprenant une sélection complète de produits de qualité supérieure et à valeur ajoutée, ainsi que des offres régionales et de marques maison, et une sélection croissante de produits qui, selon nous, sauront plaire à une population diversifiée. </w:t>
      </w:r>
    </w:p>
    <w:p w14:paraId="4EDBA94E" w14:textId="77777777" w:rsidR="00AA5117" w:rsidRPr="007D4280" w:rsidRDefault="00152032" w:rsidP="00AA5117">
      <w:pPr>
        <w:pStyle w:val="BodyText"/>
        <w:rPr>
          <w:rFonts w:eastAsia="Arial"/>
        </w:rPr>
      </w:pPr>
      <w:r w:rsidRPr="007D4280">
        <w:t xml:space="preserve">Afin de toucher un large éventail de consommateurs, les Aliments Maple Leaf dispose d’un portefeuille commercial qui couvre divers canaux de distribution bien établis, desservant les marchés de la vente au détail, des services alimentaires et industriels en Amérique du Nord. L’optimisation de la composition des ventes entre ces réseaux demeure une priorité pour la Société.  </w:t>
      </w:r>
    </w:p>
    <w:p w14:paraId="5BFAE3A2" w14:textId="3A85617D" w:rsidR="00AA5117" w:rsidRPr="007D4280" w:rsidRDefault="00152032" w:rsidP="00AA5117">
      <w:pPr>
        <w:pStyle w:val="BodyText"/>
        <w:rPr>
          <w:rFonts w:eastAsia="Arial"/>
        </w:rPr>
      </w:pPr>
      <w:r w:rsidRPr="007D4280">
        <w:t xml:space="preserve">En tant que société spécialisée dans les protéines, les Aliments Maple Leaf emploie environ 9 600 personnes et exploite deux centres de distribution, trois couvoirs et 19 usines de fabrication au Canada et aux États-Unis, dont trois usines de transformation de protéines végétales aux États-Unis. Ce réseau de production, qui comprend son usine de volaille de classe mondiale récemment achevée à London et son Centre d’excellence en bacon, offre à la Société à la fois une plateforme solide pour développer ses activités et une occasion d’optimiser davantage l’utilisation et l’efficacité de ses installations afin de renforcer sa compétitivité en matière de coûts. Son modèle de chaîne d’approvisionnement est conçu pour garantir la sécurité de l’approvisionnement en protéines de haute qualité, principalement grâce à ses activités avicoles intégrées et à la pérennité d’un accord d’approvisionnement conclu avec Canada Packers. </w:t>
      </w:r>
    </w:p>
    <w:p w14:paraId="42FBB6F0" w14:textId="058A8CA4" w:rsidR="00AA5117" w:rsidRPr="007D4280" w:rsidRDefault="00152032" w:rsidP="00AA5117">
      <w:pPr>
        <w:pStyle w:val="BodyText"/>
        <w:rPr>
          <w:rFonts w:eastAsia="Arial"/>
        </w:rPr>
      </w:pPr>
      <w:r w:rsidRPr="007D4280">
        <w:t xml:space="preserve">De plus, les Aliments Maple Leaf occupe une position stratégique qui lui permet d’être à la pointe dans des domaines tels que les viandes durables (notamment les viandes issues d’animaux élevés sans antibiotiques, dans le respect du bien-être animal, et produites par une entreprise neutre en carbone) et de proposer une gamme de produits différenciés sous des marques reconnues et de confiance, tout en continuant à mettre l’accent sur l’efficacité et la rentabilité.   </w:t>
      </w:r>
    </w:p>
    <w:p w14:paraId="4ED63256" w14:textId="4DA5DD0B" w:rsidR="00124E60" w:rsidRPr="007D4280" w:rsidRDefault="00152032" w:rsidP="00AA5117">
      <w:pPr>
        <w:pStyle w:val="BodyText"/>
        <w:rPr>
          <w:rFonts w:eastAsia="Arial"/>
        </w:rPr>
      </w:pPr>
      <w:r w:rsidRPr="007D4280">
        <w:t>Fidèle à son engagement de créer de la valeur partagée pour toutes ses parties prenantes, les Aliments Maple Leaf s’efforce de proposer des produits savoureux tout en jouant un rôle de pionnier en matière de pratiques durables. Allier des choix écoresponsables dans la fabrication de ses produits à son engagement envers la collectivité et à la réduction de l’insécurité alimentaire fait partie de l’avantage concurrentiel des Aliments Maple Leaf.</w:t>
      </w:r>
    </w:p>
    <w:p w14:paraId="07C53BB8" w14:textId="77777777" w:rsidR="00AA5117" w:rsidRPr="007D4280" w:rsidRDefault="00152032" w:rsidP="004A454D">
      <w:pPr>
        <w:pStyle w:val="BodyText"/>
        <w:rPr>
          <w:b/>
          <w:bCs/>
        </w:rPr>
      </w:pPr>
      <w:r w:rsidRPr="007D4280">
        <w:rPr>
          <w:b/>
        </w:rPr>
        <w:t>Vision et mission de la Société</w:t>
      </w:r>
    </w:p>
    <w:p w14:paraId="46DE89D9" w14:textId="1E779B74" w:rsidR="00124E60" w:rsidRPr="007D4280" w:rsidRDefault="00152032" w:rsidP="00BD7E95">
      <w:pPr>
        <w:pStyle w:val="BodyText"/>
      </w:pPr>
      <w:r w:rsidRPr="007D4280">
        <w:t xml:space="preserve">À titre d’entreprise axée sur la réalisation d’une mission, les Aliments Maple Leaf </w:t>
      </w:r>
      <w:proofErr w:type="gramStart"/>
      <w:r w:rsidRPr="007D4280">
        <w:t>a</w:t>
      </w:r>
      <w:proofErr w:type="gramEnd"/>
      <w:r w:rsidRPr="007D4280">
        <w:t xml:space="preserve"> une vision inspirante : devenir l’entreprise de produits de protéines la plus durable sur la planète. Portée par cette vision et par sa mission de rehausser le mérite des aliments, la Société croit en la création d’une valeur partagée en produisant des résultats commerciaux et financiers qui assurent la pérennité de l’entreprise, tout en s’impliquant dans des enjeux sociaux, en préconisant des solutions et en instaurant un climat de confiance avec les parties prenantes afin de contribuer à des retombées sociales positives qui font de la planète un monde meilleur. La vision et la mission de la Société sont ancrées profondément au sein de l’organisation et influencent ses décisions et ses stratégies qui évoluent au fil du temps.</w:t>
      </w:r>
    </w:p>
    <w:p w14:paraId="49D3C4E3" w14:textId="77777777" w:rsidR="00AA5117" w:rsidRPr="007D4280" w:rsidRDefault="00152032" w:rsidP="004A454D">
      <w:pPr>
        <w:pStyle w:val="BodyText"/>
        <w:rPr>
          <w:b/>
          <w:bCs/>
        </w:rPr>
      </w:pPr>
      <w:r w:rsidRPr="007D4280">
        <w:rPr>
          <w:b/>
        </w:rPr>
        <w:t>Plan directeur</w:t>
      </w:r>
    </w:p>
    <w:p w14:paraId="62B53B67" w14:textId="008B7F70" w:rsidR="00754D32" w:rsidRPr="007D4280" w:rsidRDefault="00152032" w:rsidP="00754D32">
      <w:pPr>
        <w:pStyle w:val="BodyText"/>
      </w:pPr>
      <w:r w:rsidRPr="007D4280">
        <w:t>Le plan directeur de la Société marque une nouvelle étape dans la réalisation de sa vision. La Société s’efforce de réaliser son plein potentiel en tant qu’entreprise de biens de consommation courante spécialisée dans les protéines, en s’appuyant sur l’innovation, la force de ses marques de premier plan et son leadership en matière de durabilité, tout en élargissant sa portée géographique et en misant sur son portefeuille diversifié de protéines pour répondre à la demande croissante des consommateurs. Ce plan directeur stratégique énonce la manière dont les Aliments Maple Leaf entend poursuivre ses objectifs consistant à tirer parti de la demande croissante des consommateurs pour les protéines et à créer une valeur partagée pour ses parties prenantes. Pour plus de détails sur notre plan directeur, consultez la rubrique « Évolution générale de l’activité – aperçu ».</w:t>
      </w:r>
    </w:p>
    <w:p w14:paraId="0E326C37" w14:textId="77777777" w:rsidR="00AA5117" w:rsidRPr="007D4280" w:rsidRDefault="00152032" w:rsidP="004A454D">
      <w:pPr>
        <w:pStyle w:val="BodyText"/>
        <w:rPr>
          <w:b/>
          <w:bCs/>
        </w:rPr>
      </w:pPr>
      <w:bookmarkStart w:id="14" w:name="_Hlk220659977"/>
      <w:r w:rsidRPr="007D4280">
        <w:rPr>
          <w:b/>
        </w:rPr>
        <w:t>Activités principales des Aliments Maple Leaf</w:t>
      </w:r>
    </w:p>
    <w:p w14:paraId="01CFA7CD" w14:textId="526BE1C3" w:rsidR="00AA5117" w:rsidRPr="007D4280" w:rsidRDefault="00152032" w:rsidP="00AA5117">
      <w:pPr>
        <w:pStyle w:val="BodyText"/>
        <w:rPr>
          <w:rFonts w:eastAsia="Arial"/>
        </w:rPr>
      </w:pPr>
      <w:r w:rsidRPr="007D4280">
        <w:t>Les Aliments Maple Leaf est une entreprise du secteur des biens de consommation courante qui produit et commercialise des produits de viande préparés et à valeur ajoutée, des produits de volaille fraîche et des produits à base de protéines végétales. Elle commercialise ses produits dans un éventail diversifié de réseaux, notamment les réseaux de la vente au détail, des services alimentaires et industriels, la majeure partie de ses activités se déroulant dans le secteur de la vente au détail, sous son portefeuille de marques de consommation de premier plan. Elle fabrique et fournit également des produits sous marque de distributeur à ses clients, en raison des spécificités du marché canadien, où elle approvisionne de nombreux grands détaillants et clients du secteur des services alimentaires. Le portefeuille des Aliments Maple Leaf comprend ses activités dans les secteurs des aliments préparés et de la volaille.</w:t>
      </w:r>
    </w:p>
    <w:p w14:paraId="1665051E" w14:textId="2A49202A" w:rsidR="00AA5117" w:rsidRPr="007D4280" w:rsidRDefault="00D52962" w:rsidP="002449D3">
      <w:pPr>
        <w:pStyle w:val="BodyText"/>
      </w:pPr>
      <w:r w:rsidRPr="007D4280">
        <w:t>Les activités de la Société varient selon les saisons, ce qui peut se répercuter sur le rendement d’un trimestre à l’autre. Au fil du temps, l’entreprise affiche généralement des niveaux de ventes stables du deuxième au quatrième trimestre, avec des ventes généralement plus faibles au premier trimestre de chaque année. En été, la forte demande de produits de viande grillée influe positivement sur certaines catégories comme celle des saucisses fumées et fraîches, tandis qu’à l’automne, les promotions de la rentrée contribuent à la hausse des ventes de viandes en tranches et des articles pour les lunchs. La demande de produits de dinde et de jambon, quant à elle, augmente au printemps et pendant la période des Fêtes au quatrième trimestre.</w:t>
      </w:r>
    </w:p>
    <w:p w14:paraId="24E1A9FD" w14:textId="1A58613B" w:rsidR="007653F2" w:rsidRPr="007D4280" w:rsidRDefault="00152032" w:rsidP="00AA5117">
      <w:pPr>
        <w:pStyle w:val="BodyText"/>
        <w:rPr>
          <w:rFonts w:eastAsia="Arial"/>
          <w:b/>
          <w:bCs/>
        </w:rPr>
      </w:pPr>
      <w:r w:rsidRPr="007D4280">
        <w:t xml:space="preserve">La société dispose d’une chaîne d’approvisionnement de classe mondiale, capable de soutenir sa croissance grâce à ses deux centres de distribution, ses trois couvoirs et ses 19 usines de </w:t>
      </w:r>
      <w:proofErr w:type="gramStart"/>
      <w:r w:rsidRPr="007D4280">
        <w:t>fabrication situés</w:t>
      </w:r>
      <w:proofErr w:type="gramEnd"/>
      <w:r w:rsidRPr="007D4280">
        <w:t xml:space="preserve"> au Canada et aux États-Unis, dont trois usines de transformation de protéines végétales aux États-Unis. La Société dispose également de son Centre d’innovation </w:t>
      </w:r>
      <w:proofErr w:type="spellStart"/>
      <w:r w:rsidRPr="007D4280">
        <w:t>ThinkFood</w:t>
      </w:r>
      <w:proofErr w:type="spellEnd"/>
      <w:r w:rsidRPr="007D4280">
        <w:t>! à Mississauga, en Ontario, et de son Centre d’innovation à Chicago, dans l’Illinois, chacun doté de capacités uniques qui soutiennent les plateformes d’innovation de la Société.</w:t>
      </w:r>
      <w:bookmarkEnd w:id="14"/>
      <w:r w:rsidRPr="007D4280">
        <w:t xml:space="preserve">  </w:t>
      </w:r>
    </w:p>
    <w:p w14:paraId="49E092B2" w14:textId="7E4B9D68" w:rsidR="00AA5117" w:rsidRPr="007D4280" w:rsidRDefault="00152032" w:rsidP="00AA5117">
      <w:pPr>
        <w:pStyle w:val="Heading4"/>
        <w:rPr>
          <w:rFonts w:ascii="Arial" w:hAnsi="Arial" w:cs="Arial"/>
          <w:sz w:val="18"/>
          <w:szCs w:val="18"/>
        </w:rPr>
      </w:pPr>
      <w:bookmarkStart w:id="15" w:name="_Hlk223117264"/>
      <w:r w:rsidRPr="007D4280">
        <w:rPr>
          <w:rFonts w:ascii="Arial" w:hAnsi="Arial"/>
          <w:sz w:val="18"/>
        </w:rPr>
        <w:t>Aliments préparés</w:t>
      </w:r>
    </w:p>
    <w:p w14:paraId="3C7BC433" w14:textId="77777777" w:rsidR="005D2BE3" w:rsidRPr="007D4280" w:rsidRDefault="00152032" w:rsidP="005D2BE3">
      <w:pPr>
        <w:pStyle w:val="BodyText"/>
        <w:rPr>
          <w:rFonts w:eastAsia="Arial"/>
        </w:rPr>
      </w:pPr>
      <w:r w:rsidRPr="007D4280">
        <w:t>Le portefeuille d’aliments préparés représentait environ 75 % du chiffre d’affaires annuel des Aliments Maple Leaf pour les exercices clos le 31 décembre 2025 et le 31 décembre 2024.</w:t>
      </w:r>
      <w:r w:rsidRPr="007D4280">
        <w:rPr>
          <w:b/>
        </w:rPr>
        <w:t xml:space="preserve"> </w:t>
      </w:r>
      <w:r w:rsidRPr="007D4280">
        <w:t>Le portefeuille s’appuie sur un solide ensemble de plus de 35 marques commercialisées dans un large éventail de catégories, couvrant à la fois les protéines animales et végétales, et occupant des positions de leader dans de nombreuses catégories. Pour plus de détails sur nos marques et leur position sur le marché, consultez la rubrique « Évolution générale de l’activité – aperçu ».</w:t>
      </w:r>
    </w:p>
    <w:p w14:paraId="52975121" w14:textId="77777777" w:rsidR="00AA5117" w:rsidRPr="007D4280" w:rsidRDefault="00152032" w:rsidP="00AA5117">
      <w:pPr>
        <w:pStyle w:val="Heading4"/>
        <w:rPr>
          <w:rFonts w:ascii="Arial" w:hAnsi="Arial" w:cs="Arial"/>
          <w:sz w:val="18"/>
          <w:szCs w:val="18"/>
        </w:rPr>
      </w:pPr>
      <w:r w:rsidRPr="007D4280">
        <w:rPr>
          <w:rFonts w:ascii="Arial" w:hAnsi="Arial"/>
          <w:sz w:val="18"/>
        </w:rPr>
        <w:t>Volaille</w:t>
      </w:r>
    </w:p>
    <w:p w14:paraId="1210500F" w14:textId="65AFFC53" w:rsidR="00AA5117" w:rsidRPr="007D4280" w:rsidRDefault="00152032" w:rsidP="00AA5117">
      <w:pPr>
        <w:pStyle w:val="BodyText"/>
        <w:keepNext/>
      </w:pPr>
      <w:r w:rsidRPr="007D4280">
        <w:t xml:space="preserve">Les activités de volaille fraîche des Aliments Maple Leaf ont représenté environ 25 % du chiffre d’affaires annuel des Aliments Maple Leaf pour les exercices clos le 31 décembre 2025 et le 31 décembre 2024. Le secteur de la volaille comprend des marques de premier plan, telles que Prime de Maple Leaf® (la première marque canadienne de volaille fraîche) et les produits halal Mina® (la première marque de volaille halal au Canada). Outre la vente de produits de marque et de marque de distributeur à ses clients du commerce de détail et des services alimentaires, le secteur de la volaille constitue également une source d’approvisionnement intégrée pour la gamme d’aliments préparés de la Société. </w:t>
      </w:r>
    </w:p>
    <w:p w14:paraId="16DC0699" w14:textId="09F6FF85" w:rsidR="00AA5117" w:rsidRPr="007D4280" w:rsidRDefault="00152032" w:rsidP="00AA5117">
      <w:pPr>
        <w:pStyle w:val="BodyText"/>
      </w:pPr>
      <w:r w:rsidRPr="007D4280">
        <w:t>Outre son envergure, l’usine de volaille de classe mondiale de la Société située à London, en Ontario, est dotée d’une technologie de pointe et de capacités uniques, notamment l’abattage à la main certifié halal. La société possède et exploite également une usine à Edmonton, en Alberta, ainsi que trois couvoirs, et travaille en partenariat avec environ 500 éleveurs de volaille indépendants agréés à travers le pays, capables de fournir des viandes issues de l’élevage durable, notamment des produits élevés sans antibiotiques et des produits biologiques.</w:t>
      </w:r>
    </w:p>
    <w:p w14:paraId="11F5E970" w14:textId="108657F1" w:rsidR="00AA5117" w:rsidRPr="007D4280" w:rsidRDefault="00152032" w:rsidP="00BD7E95">
      <w:pPr>
        <w:pStyle w:val="BodyText"/>
      </w:pPr>
      <w:r w:rsidRPr="007D4280">
        <w:t>L’industrie avicole est régie par le système de gestion de l’offre du Canada. Dans ce système, les Aliments Maple Leaf détient : i) un contingent de producteur d’œufs d’incubation du Canada, ce qui lui permet d’exploiter des couvoirs, et ii) un contingent d’approvisionnement pour ses usines de transformation de poulet en Ontario, ce qui lui permet d’acheter des poulets vivants aux fins de transformation. En raison du système de gestion de l’offre, les ventes de volaille de la Société se font principalement sur le marché canadien.</w:t>
      </w:r>
    </w:p>
    <w:bookmarkEnd w:id="15"/>
    <w:p w14:paraId="51B4CC2A" w14:textId="77777777" w:rsidR="00AA5117" w:rsidRPr="007D4280" w:rsidRDefault="00152032" w:rsidP="008B47A0">
      <w:pPr>
        <w:pStyle w:val="BodyText"/>
        <w:rPr>
          <w:b/>
          <w:bCs/>
        </w:rPr>
      </w:pPr>
      <w:r w:rsidRPr="007D4280">
        <w:rPr>
          <w:b/>
        </w:rPr>
        <w:t>Approvisionnement en matières premières</w:t>
      </w:r>
    </w:p>
    <w:p w14:paraId="1ED984D5" w14:textId="5E834805" w:rsidR="00AA5117" w:rsidRPr="007D4280" w:rsidRDefault="00152032" w:rsidP="00AA5117">
      <w:pPr>
        <w:pStyle w:val="BodyText"/>
      </w:pPr>
      <w:r w:rsidRPr="007D4280">
        <w:t>Les Aliments Maple Leaf s’approvisionne en matières premières et en ingrédients auprès de divers fournisseurs. La majeure partie des matières premières animales de son portefeuille provient, dans le cas du porc, d’un accord d’approvisionnement à reconduction tacite avec Canada Packers et, dans le cas de la volaille, des propres activités intégrées de transformation de la volaille de la Société.</w:t>
      </w:r>
      <w:r w:rsidRPr="007D4280">
        <w:rPr>
          <w:b/>
        </w:rPr>
        <w:t xml:space="preserve"> </w:t>
      </w:r>
      <w:r w:rsidRPr="007D4280">
        <w:t xml:space="preserve">Elle s’approvisionne également en matières premières de viande sur le marché libre, soit directement auprès de fournisseurs tiers, soit par l’intermédiaire de courtiers au Canada ou aux États-Unis. Les prix des matières premières de viande fluctuent en fonction de la demande et de l’offre disponible, le prix du porc étant principalement fixé en fonction des marchés du United States </w:t>
      </w:r>
      <w:proofErr w:type="spellStart"/>
      <w:r w:rsidRPr="007D4280">
        <w:t>Department</w:t>
      </w:r>
      <w:proofErr w:type="spellEnd"/>
      <w:r w:rsidRPr="007D4280">
        <w:t xml:space="preserve"> of Agriculture (USDA). Conformément à la pratique courante en Amérique du Nord, la tarification de la viande de porc dans le cadre de l’accord d’approvisionnement conclu avec Canada Packers repose sur la formule de tarification de l’USDA. </w:t>
      </w:r>
    </w:p>
    <w:p w14:paraId="6863A714" w14:textId="77777777" w:rsidR="00AA5117" w:rsidRPr="007D4280" w:rsidRDefault="00152032" w:rsidP="00AA5117">
      <w:pPr>
        <w:pStyle w:val="BodyText"/>
        <w:rPr>
          <w:iCs/>
        </w:rPr>
      </w:pPr>
      <w:r w:rsidRPr="007D4280">
        <w:t>Le secteur de la transformation du poulet au Canada est fortement réglementé, et l’approvisionnement en poulets vivants est contrôlé par des offices de commercialisation et autres organismes gouvernementaux. La Société achète les poulets vivants pour ses activités de volaille par l’entremise d’offices de commercialisation qui réglementent à la fois l’offre et le coût des poulets.</w:t>
      </w:r>
    </w:p>
    <w:p w14:paraId="520D8F91" w14:textId="77777777" w:rsidR="00AA5117" w:rsidRPr="007D4280" w:rsidRDefault="00152032" w:rsidP="003873F7">
      <w:pPr>
        <w:pStyle w:val="BodyText"/>
      </w:pPr>
      <w:r w:rsidRPr="007D4280">
        <w:t>Les Aliments Maple Leaf s’approvisionne en ingrédients et en matériaux d’emballage auprès de divers fournisseurs à travers l’Amérique du Nord afin de s’assurer que l’entreprise bénéficie des prix les plus concurrentiels pour optimiser ses coûts d’exploitation.</w:t>
      </w:r>
    </w:p>
    <w:p w14:paraId="3C337E58" w14:textId="77777777" w:rsidR="00AA5117" w:rsidRPr="007D4280" w:rsidRDefault="00152032" w:rsidP="008B47A0">
      <w:pPr>
        <w:pStyle w:val="BodyText"/>
        <w:rPr>
          <w:b/>
          <w:bCs/>
        </w:rPr>
      </w:pPr>
      <w:r w:rsidRPr="007D4280">
        <w:rPr>
          <w:b/>
        </w:rPr>
        <w:t>Principaux produits, clients et marchés</w:t>
      </w:r>
    </w:p>
    <w:p w14:paraId="30F06B30" w14:textId="77777777" w:rsidR="00792784" w:rsidRPr="007D4280" w:rsidRDefault="00152032" w:rsidP="00792784">
      <w:pPr>
        <w:pStyle w:val="BodyText"/>
        <w:rPr>
          <w:rFonts w:eastAsia="Arial"/>
        </w:rPr>
      </w:pPr>
      <w:r w:rsidRPr="007D4280">
        <w:t>Les Aliments Maple Leaf commercialise principalement des produits de viande emballés à valeur ajoutée, répartis dans plus de 25 catégories, tant dans le commerce de détail que dans les services alimentaires. Les Aliments Maple Leaf vend ses produits dans divers canaux, dont des établissements de vente au détail (grandes chaînes de supermarchés, épiceries indépendantes, grands magasins à escompte, plateformes de commerce électronique, groupements d’achat en gros et au détail, etc.), des services alimentaires, des restaurants, des distributeurs, des acheteurs institutionnels et d’autres entreprises de transformation alimentaire. La majeure partie du chiffre d’affaires de la Société provient du segment de la vente au détail par l’entremise de son portefeuille de marques de consommation.</w:t>
      </w:r>
    </w:p>
    <w:p w14:paraId="07E7E679" w14:textId="61AE87CF" w:rsidR="00AA5117" w:rsidRPr="007D4280" w:rsidRDefault="00152032" w:rsidP="00AA5117">
      <w:pPr>
        <w:pStyle w:val="BodyText"/>
      </w:pPr>
      <w:r w:rsidRPr="007D4280">
        <w:t xml:space="preserve">La société est présente dans diverses catégories de produits, notamment les charcuteries en tranches, la volaille transformée, le bacon (cru et précuit), les jambons entiers et les viandes de spécialité, les saucisses et saucisses fumées, les viandes en boîte, les pièces de charcuterie, les pâtisseries, les collations, les trousses-repas et les trousses familiales, les solutions de repas et autres. Elle est également présente dans de nombreuses catégories de protéines de substitution, de substituts de produits laitiers et d’autres protéines végétales innovantes, telles que les burgers à base végétale, les boulettes à base végétale, les saucisses à hot-dog à base végétale, </w:t>
      </w:r>
      <w:proofErr w:type="gramStart"/>
      <w:r w:rsidRPr="007D4280">
        <w:t>le haché</w:t>
      </w:r>
      <w:proofErr w:type="gramEnd"/>
      <w:r w:rsidRPr="007D4280">
        <w:t xml:space="preserve"> à base végétale, les charcuteries à base végétale, les rôtis à base végétale, le poulet à base végétale, les déjeuners à base végétale, le </w:t>
      </w:r>
      <w:proofErr w:type="spellStart"/>
      <w:r w:rsidRPr="007D4280">
        <w:t>tempeh</w:t>
      </w:r>
      <w:proofErr w:type="spellEnd"/>
      <w:r w:rsidRPr="007D4280">
        <w:t xml:space="preserve"> et le fromage à base végétale.</w:t>
      </w:r>
    </w:p>
    <w:p w14:paraId="668156EB" w14:textId="7DEE91A3" w:rsidR="00AA5117" w:rsidRPr="007D4280" w:rsidRDefault="00152032" w:rsidP="00AA5117">
      <w:pPr>
        <w:pStyle w:val="BodyText"/>
      </w:pPr>
      <w:r w:rsidRPr="007D4280">
        <w:t>Les activités des Aliments Maple Leaf se concentrent principalement sur le marché canadien, à l’exception de son secteur des protéines végétales, qui est surtout présent sur le marché américain. Les Aliments Maple Leaf a considérablement élargi et accru ses activités aux États-Unis en ce qui a trait à son portefeuille de viandes durables. Les États-Unis offrent des perspectives de croissance intéressantes en raison de la taille importante du marché et de la présence de nombreux marchés régionaux caractérisés par des niveaux de concurrence variables.</w:t>
      </w:r>
    </w:p>
    <w:p w14:paraId="0AF06099" w14:textId="7FED507E" w:rsidR="00AA5117" w:rsidRPr="007D4280" w:rsidRDefault="00152032" w:rsidP="00AA5117">
      <w:pPr>
        <w:pStyle w:val="BodyText"/>
      </w:pPr>
      <w:r w:rsidRPr="007D4280">
        <w:t xml:space="preserve">Les Aliments Maple Leaf exporte vers certains pays en dehors du Canada et des États-Unis; toutefois, ces marchés ne représentent pas aujourd’hui une part significative de son activité. </w:t>
      </w:r>
    </w:p>
    <w:p w14:paraId="6E1792E7" w14:textId="77777777" w:rsidR="00AA5117" w:rsidRPr="007D4280" w:rsidRDefault="00152032" w:rsidP="008B47A0">
      <w:pPr>
        <w:pStyle w:val="BodyText"/>
        <w:rPr>
          <w:b/>
          <w:bCs/>
        </w:rPr>
      </w:pPr>
      <w:bookmarkStart w:id="16" w:name="_Hlk63942497"/>
      <w:r w:rsidRPr="007D4280">
        <w:rPr>
          <w:b/>
        </w:rPr>
        <w:t>Environnement concurrentiel et conditions du marché</w:t>
      </w:r>
    </w:p>
    <w:p w14:paraId="50C2464B" w14:textId="648F724B" w:rsidR="00E426EA" w:rsidRPr="007D4280" w:rsidRDefault="00152032" w:rsidP="00F97CCE">
      <w:pPr>
        <w:pStyle w:val="BodyText"/>
        <w:rPr>
          <w:b/>
          <w:bCs/>
        </w:rPr>
      </w:pPr>
      <w:r w:rsidRPr="007D4280">
        <w:t>Le secteur des protéines au Canada est hautement concurrentiel et fait face à la concurrence de fabricants étrangers, principalement des États-Unis. Les principaux concurrents comprennent plusieurs multinationales de l’alimentation ainsi que des fabricants nationaux et régionaux; toutefois, le nombre précis de concurrents et le degré de concurrence varient selon le produit et la région.</w:t>
      </w:r>
    </w:p>
    <w:bookmarkEnd w:id="16"/>
    <w:p w14:paraId="2161944B" w14:textId="1BA99372" w:rsidR="00AA5117" w:rsidRPr="007D4280" w:rsidRDefault="00152032" w:rsidP="00AA5117">
      <w:pPr>
        <w:pStyle w:val="Heading4"/>
        <w:rPr>
          <w:rFonts w:ascii="Arial" w:hAnsi="Arial" w:cs="Arial"/>
          <w:sz w:val="18"/>
          <w:szCs w:val="18"/>
        </w:rPr>
      </w:pPr>
      <w:r w:rsidRPr="007D4280">
        <w:rPr>
          <w:rFonts w:ascii="Arial" w:hAnsi="Arial"/>
          <w:sz w:val="18"/>
        </w:rPr>
        <w:t>Concurrence – aliments préparés</w:t>
      </w:r>
    </w:p>
    <w:p w14:paraId="3782C85B" w14:textId="26428870" w:rsidR="00AA5117" w:rsidRPr="007D4280" w:rsidRDefault="00152032" w:rsidP="00AA5117">
      <w:pPr>
        <w:pStyle w:val="BodyText"/>
      </w:pPr>
      <w:r w:rsidRPr="007D4280">
        <w:t>Les aliments préparés sont un marché concurrentiel qui compte de nombreux acteurs. La concurrence existe au niveau des catégories et les entreprises ont tendance à se concentrer sur la gestion des catégories clés. Il existe plus de quinze catégories dans le secteur des viandes préparées au Canada. Les Aliments Maple Leaf jouent un rôle de premier plan dans bon nombre de celles-ci. La Société occupe également une position de chef de file dans la catégorie des protéines végétales réfrigérées aux États-Unis et rivalise dans les catégories des substituts de viande surgelés, des repas et des fromages à base végétale. En proposant cette gamme complète de produits à base de viande et de protéines végétales, nous sommes convaincus que notre offre séduira un large public de consommateurs qui souhaitent intégrer à la fois de la viande et des protéines végétales dans leur alimentation.</w:t>
      </w:r>
    </w:p>
    <w:p w14:paraId="2F4D0CFF" w14:textId="11D62B12" w:rsidR="00AA5117" w:rsidRPr="007D4280" w:rsidRDefault="00152032" w:rsidP="00AA5117">
      <w:pPr>
        <w:pStyle w:val="Heading4"/>
        <w:rPr>
          <w:rFonts w:ascii="Arial" w:hAnsi="Arial" w:cs="Arial"/>
          <w:sz w:val="18"/>
          <w:szCs w:val="18"/>
        </w:rPr>
      </w:pPr>
      <w:r w:rsidRPr="007D4280">
        <w:rPr>
          <w:rFonts w:ascii="Arial" w:hAnsi="Arial"/>
          <w:sz w:val="18"/>
        </w:rPr>
        <w:t>Concurrence – volaille</w:t>
      </w:r>
    </w:p>
    <w:p w14:paraId="39F8667B" w14:textId="77777777" w:rsidR="00AA5117" w:rsidRPr="007D4280" w:rsidRDefault="00152032" w:rsidP="00AA5117">
      <w:pPr>
        <w:pStyle w:val="BodyText"/>
      </w:pPr>
      <w:r w:rsidRPr="007D4280">
        <w:t>Dans le secteur de la volaille, la Société se livre à une concurrence au sein du Canada, un marché caractérisé par son système de gestion de l’offre. Le marché de la volaille fait habituellement l’objet d’une forte demande de la part des consommateurs, la volaille étant l’une des sources de protéines les plus consommées au Canada. En raison du système de gestion de l’offre, les exportations de volaille de la Société sont de faible importance.</w:t>
      </w:r>
    </w:p>
    <w:p w14:paraId="09806058" w14:textId="0ACE2ECA" w:rsidR="00AA5117" w:rsidRPr="007D4280" w:rsidRDefault="00152032" w:rsidP="00AA5117">
      <w:pPr>
        <w:pStyle w:val="Heading4"/>
        <w:rPr>
          <w:rFonts w:ascii="Arial" w:hAnsi="Arial" w:cs="Arial"/>
          <w:sz w:val="18"/>
          <w:szCs w:val="18"/>
        </w:rPr>
      </w:pPr>
      <w:r w:rsidRPr="007D4280">
        <w:rPr>
          <w:rFonts w:ascii="Arial" w:hAnsi="Arial"/>
          <w:sz w:val="18"/>
        </w:rPr>
        <w:t>Marchés des produits de base</w:t>
      </w:r>
    </w:p>
    <w:p w14:paraId="5D7F7F5E" w14:textId="5043F675" w:rsidR="00FB48FB" w:rsidRPr="007D4280" w:rsidRDefault="00152032" w:rsidP="00771128">
      <w:pPr>
        <w:pStyle w:val="BodyText"/>
      </w:pPr>
      <w:r w:rsidRPr="007D4280">
        <w:t>Les Aliments Maple Leaf est exposée aux marchés des produits de base. Dans le secteur de la volaille, les résultats financiers sont influencés par les allocations de l’offre intérieure dans le cadre du système de gestion de l’offre, ainsi que par le coût mondial des aliments pour animaux. Dans le secteur des aliments préparés, le prix payé pour l’approvisionnement en viande de porc est influencé par les cours du marché des produits de base. La Société vise à atténuer l’influence des prix des marchandises sous-jacentes en se concentrant sur la durabilité et les produits à valeur ajoutée et en augmentant son efficacité opérationnelle afin d’améliorer sa position concurrentielle et en déployant diverses stratégies de gestion des risques. À la suite de la Scission de ses activités porcines, la Société voit son exposition aux marchés des produits de base diminuer.</w:t>
      </w:r>
    </w:p>
    <w:bookmarkEnd w:id="12"/>
    <w:p w14:paraId="58907E04" w14:textId="5188A162" w:rsidR="00695197" w:rsidRPr="007D4280" w:rsidRDefault="00AA18FF" w:rsidP="00BD7E95">
      <w:pPr>
        <w:pStyle w:val="AIF-Level1"/>
        <w:tabs>
          <w:tab w:val="center" w:pos="4680"/>
          <w:tab w:val="left" w:pos="8415"/>
        </w:tabs>
        <w:jc w:val="left"/>
        <w:outlineLvl w:val="0"/>
      </w:pPr>
      <w:r w:rsidRPr="007D4280">
        <w:tab/>
      </w:r>
      <w:bookmarkStart w:id="17" w:name="_Toc226985970"/>
      <w:r w:rsidRPr="007D4280">
        <w:t>AUTRES RENSEIGNEMENTS SUR LES ALIMENTS MAPLE LEAF</w:t>
      </w:r>
      <w:bookmarkEnd w:id="17"/>
    </w:p>
    <w:p w14:paraId="3A3F3E76" w14:textId="72D05969" w:rsidR="00695197" w:rsidRPr="007D4280" w:rsidRDefault="00152032" w:rsidP="00E72EC2">
      <w:pPr>
        <w:pStyle w:val="AIF-Level2"/>
        <w:outlineLvl w:val="1"/>
      </w:pPr>
      <w:bookmarkStart w:id="18" w:name="_Toc226985971"/>
      <w:bookmarkStart w:id="19" w:name="_Hlk64352011"/>
      <w:bookmarkStart w:id="20" w:name="_Hlk157366057"/>
      <w:r w:rsidRPr="007D4280">
        <w:t>Activités à l’étranger</w:t>
      </w:r>
      <w:bookmarkEnd w:id="18"/>
      <w:r w:rsidRPr="007D4280">
        <w:t xml:space="preserve"> </w:t>
      </w:r>
    </w:p>
    <w:p w14:paraId="6ECAA70A" w14:textId="6627FEF8" w:rsidR="002A7827" w:rsidRPr="007D4280" w:rsidRDefault="00152032" w:rsidP="002A7827">
      <w:pPr>
        <w:spacing w:after="120" w:line="300" w:lineRule="auto"/>
        <w:rPr>
          <w:rFonts w:ascii="Arial" w:eastAsia="Arial" w:hAnsi="Arial" w:cs="Arial"/>
          <w:sz w:val="18"/>
        </w:rPr>
      </w:pPr>
      <w:bookmarkStart w:id="21" w:name="_Hlk122350525"/>
      <w:bookmarkEnd w:id="19"/>
      <w:bookmarkEnd w:id="20"/>
      <w:r w:rsidRPr="007D4280">
        <w:rPr>
          <w:rFonts w:ascii="Arial" w:hAnsi="Arial"/>
          <w:sz w:val="18"/>
        </w:rPr>
        <w:t>Les produits gagnés à l’étranger pour l’exercice clos le 31 décembre 2025 s’élèvent à 425 millions de dollars. Sur le montant total réalisé hors du Canada, 419 millions de dollars ont été générés aux États-Unis. Le chiffre d’affaires par zone géographique est déterminé en fonction de l’emplacement d’expédition.</w:t>
      </w:r>
    </w:p>
    <w:p w14:paraId="7E94FABA" w14:textId="46B67B05" w:rsidR="00163E56" w:rsidRPr="007D4280" w:rsidRDefault="00163E56" w:rsidP="00163E56">
      <w:pPr>
        <w:spacing w:after="120" w:line="300" w:lineRule="auto"/>
        <w:rPr>
          <w:rFonts w:ascii="Arial" w:eastAsia="Arial" w:hAnsi="Arial" w:cs="Arial"/>
          <w:sz w:val="18"/>
        </w:rPr>
      </w:pPr>
      <w:r w:rsidRPr="007D4280">
        <w:rPr>
          <w:rFonts w:ascii="Arial" w:hAnsi="Arial"/>
          <w:sz w:val="18"/>
        </w:rPr>
        <w:t xml:space="preserve">La Société commercialise une gamme de produits de viande transformée à valeur ajoutée fabriqués au Canada et destinés à la vente à des clients situés hors du Canada. La plupart des usines de protéines végétales de la Société sont aux États-Unis et la majorité de ses ventes de ces produits se font dans ce pays.  </w:t>
      </w:r>
    </w:p>
    <w:p w14:paraId="67D15DF2" w14:textId="47CC1F89" w:rsidR="00163E56" w:rsidRPr="007D4280" w:rsidRDefault="00163E56" w:rsidP="00163E56">
      <w:pPr>
        <w:spacing w:after="120" w:line="300" w:lineRule="auto"/>
        <w:rPr>
          <w:rFonts w:ascii="Arial" w:eastAsia="Arial" w:hAnsi="Arial" w:cs="Arial"/>
          <w:sz w:val="18"/>
        </w:rPr>
      </w:pPr>
      <w:r w:rsidRPr="007D4280">
        <w:rPr>
          <w:rFonts w:ascii="Arial" w:hAnsi="Arial"/>
          <w:sz w:val="18"/>
        </w:rPr>
        <w:t>Dans l’ensemble, le rendement de la Société est touché par le prix des intrants, les fluctuations des taux de change, la présence de maladies animales dans différentes régions géographiques, les barrières commerciales et les droits de douane. Récemment, la Société a formé un groupe de travail chargé de cerner des stratégies d’atténuation et des débouchés potentiels à court terme pour gérer les risques liés à l’imposition de droits de douane par des pays comme les États-Unis et la Chine (le cas échéant), ainsi que les tarifs réciproques imposés par le Canada.</w:t>
      </w:r>
    </w:p>
    <w:p w14:paraId="0552884D" w14:textId="0BBE3190" w:rsidR="002A7827" w:rsidRPr="007D4280" w:rsidRDefault="00152032" w:rsidP="002A7827">
      <w:pPr>
        <w:spacing w:after="120" w:line="300" w:lineRule="auto"/>
        <w:rPr>
          <w:rFonts w:ascii="Arial" w:eastAsia="Arial" w:hAnsi="Arial" w:cs="Arial"/>
          <w:sz w:val="18"/>
        </w:rPr>
      </w:pPr>
      <w:r w:rsidRPr="007D4280">
        <w:rPr>
          <w:rFonts w:ascii="Arial" w:hAnsi="Arial"/>
          <w:sz w:val="18"/>
        </w:rPr>
        <w:t xml:space="preserve">Pour en savoir plus, consultez la rubrique Facteurs de risque du rapport de gestion de 2025 de la Société, accessible sur SEDAR+ au </w:t>
      </w:r>
      <w:hyperlink r:id="rId18" w:history="1">
        <w:r w:rsidRPr="007D4280">
          <w:rPr>
            <w:rStyle w:val="Hyperlink"/>
            <w:rFonts w:ascii="Arial" w:hAnsi="Arial"/>
            <w:sz w:val="18"/>
          </w:rPr>
          <w:t>www.sedarplus.ca</w:t>
        </w:r>
      </w:hyperlink>
      <w:r w:rsidRPr="007D4280">
        <w:rPr>
          <w:rFonts w:ascii="Arial" w:hAnsi="Arial"/>
          <w:sz w:val="18"/>
        </w:rPr>
        <w:t>.</w:t>
      </w:r>
    </w:p>
    <w:p w14:paraId="44B543F5" w14:textId="77777777" w:rsidR="0013141D" w:rsidRPr="007D4280" w:rsidRDefault="00152032" w:rsidP="0013141D">
      <w:pPr>
        <w:pStyle w:val="AIF-Level2"/>
        <w:outlineLvl w:val="1"/>
      </w:pPr>
      <w:bookmarkStart w:id="22" w:name="_Toc226985972"/>
      <w:r w:rsidRPr="007D4280">
        <w:t>Propriété intellectuelle : marques de commerce, marques et innovation</w:t>
      </w:r>
      <w:bookmarkEnd w:id="22"/>
    </w:p>
    <w:p w14:paraId="78FCF76D" w14:textId="77777777" w:rsidR="0013141D" w:rsidRPr="007D4280" w:rsidRDefault="00152032" w:rsidP="0013141D">
      <w:pPr>
        <w:spacing w:after="120" w:line="300" w:lineRule="auto"/>
        <w:rPr>
          <w:rFonts w:ascii="Arial" w:eastAsia="Arial" w:hAnsi="Arial" w:cs="Arial"/>
          <w:sz w:val="18"/>
        </w:rPr>
      </w:pPr>
      <w:r w:rsidRPr="007D4280">
        <w:rPr>
          <w:rFonts w:ascii="Arial" w:hAnsi="Arial"/>
          <w:sz w:val="18"/>
        </w:rPr>
        <w:t xml:space="preserve">En tant qu’entreprise de biens de consommation courante, les Aliments Maple Leaf dépend largement de la notoriété de ses marques et de la fidélité envers celles-ci. Elle accorde donc une grande importance à sa gamme de marques de commerce bien établies. La Société croit que pour les consommateurs, ses marques sont synonymes de qualité et de fiabilité. </w:t>
      </w:r>
    </w:p>
    <w:p w14:paraId="1BAD003E" w14:textId="1DCC069B" w:rsidR="0013141D" w:rsidRPr="007D4280" w:rsidRDefault="00152032" w:rsidP="0013141D">
      <w:pPr>
        <w:spacing w:after="120" w:line="300" w:lineRule="auto"/>
        <w:rPr>
          <w:rFonts w:ascii="Arial" w:eastAsia="Arial" w:hAnsi="Arial" w:cs="Arial"/>
          <w:sz w:val="18"/>
        </w:rPr>
      </w:pPr>
      <w:r w:rsidRPr="007D4280">
        <w:rPr>
          <w:rFonts w:ascii="Arial" w:hAnsi="Arial"/>
          <w:sz w:val="18"/>
        </w:rPr>
        <w:t>Les marques principales sous lesquelles sont regroupés les produits d’aliments préparés de la Société sont les suivantes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700"/>
        <w:gridCol w:w="1981"/>
        <w:gridCol w:w="2340"/>
      </w:tblGrid>
      <w:tr w:rsidR="004A2F18" w:rsidRPr="007D4280" w14:paraId="1A3AFB35"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56EF16E0" w14:textId="77777777"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Maple Leaf®</w:t>
            </w:r>
          </w:p>
        </w:tc>
        <w:tc>
          <w:tcPr>
            <w:tcW w:w="2700" w:type="dxa"/>
            <w:tcBorders>
              <w:top w:val="single" w:sz="2" w:space="0" w:color="000000"/>
              <w:left w:val="single" w:sz="2" w:space="0" w:color="000000"/>
              <w:bottom w:val="single" w:sz="2" w:space="0" w:color="000000"/>
              <w:right w:val="single" w:sz="2" w:space="0" w:color="000000"/>
            </w:tcBorders>
          </w:tcPr>
          <w:p w14:paraId="2D4D6CBD" w14:textId="1B21D7A1"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Chao </w:t>
            </w:r>
            <w:proofErr w:type="spellStart"/>
            <w:r w:rsidRPr="007D4280">
              <w:rPr>
                <w:rFonts w:ascii="Arial" w:hAnsi="Arial"/>
                <w:color w:val="000000"/>
                <w:sz w:val="16"/>
              </w:rPr>
              <w:t>Creamery</w:t>
            </w:r>
            <w:r w:rsidRPr="007D4280">
              <w:rPr>
                <w:rFonts w:ascii="Arial" w:hAnsi="Arial"/>
                <w:color w:val="000000"/>
                <w:sz w:val="16"/>
                <w:vertAlign w:val="superscript"/>
              </w:rPr>
              <w:t>MC</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0E514E94" w14:textId="01B8538E"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LightLife</w:t>
            </w:r>
            <w:r w:rsidRPr="007D4280">
              <w:rPr>
                <w:rFonts w:ascii="Arial" w:hAnsi="Arial"/>
                <w:color w:val="000000"/>
                <w:sz w:val="16"/>
                <w:vertAlign w:val="superscript"/>
              </w:rPr>
              <w:t>MC</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604034EB" w14:textId="486FA9E0"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Shopsy’s</w:t>
            </w:r>
            <w:r w:rsidRPr="007D4280">
              <w:rPr>
                <w:rFonts w:ascii="Arial" w:hAnsi="Arial"/>
                <w:color w:val="000000"/>
                <w:sz w:val="16"/>
                <w:vertAlign w:val="superscript"/>
              </w:rPr>
              <w:t>MD</w:t>
            </w:r>
            <w:proofErr w:type="spellEnd"/>
          </w:p>
        </w:tc>
      </w:tr>
      <w:tr w:rsidR="004A2F18" w:rsidRPr="007D4280" w14:paraId="72AD8882" w14:textId="77777777" w:rsidTr="00BD7E95">
        <w:trPr>
          <w:cantSplit/>
          <w:trHeight w:hRule="exact" w:val="1337"/>
        </w:trPr>
        <w:tc>
          <w:tcPr>
            <w:tcW w:w="2337" w:type="dxa"/>
            <w:tcBorders>
              <w:top w:val="single" w:sz="2" w:space="0" w:color="000000"/>
              <w:left w:val="single" w:sz="2" w:space="0" w:color="000000"/>
              <w:bottom w:val="single" w:sz="2" w:space="0" w:color="000000"/>
              <w:right w:val="single" w:sz="2" w:space="0" w:color="000000"/>
            </w:tcBorders>
          </w:tcPr>
          <w:p w14:paraId="63C3DFF1" w14:textId="37262394"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Natural </w:t>
            </w:r>
            <w:proofErr w:type="spellStart"/>
            <w:r w:rsidRPr="007D4280">
              <w:rPr>
                <w:rFonts w:ascii="Arial" w:hAnsi="Arial"/>
                <w:color w:val="000000"/>
                <w:sz w:val="16"/>
              </w:rPr>
              <w:t>Selections</w:t>
            </w:r>
            <w:proofErr w:type="spellEnd"/>
            <w:r w:rsidRPr="007D4280">
              <w:rPr>
                <w:rFonts w:ascii="Arial" w:hAnsi="Arial"/>
                <w:color w:val="000000"/>
                <w:sz w:val="16"/>
              </w:rPr>
              <w:t xml:space="preserve">® de Maple Leaf® </w:t>
            </w:r>
          </w:p>
        </w:tc>
        <w:tc>
          <w:tcPr>
            <w:tcW w:w="2700" w:type="dxa"/>
            <w:tcBorders>
              <w:top w:val="single" w:sz="2" w:space="0" w:color="000000"/>
              <w:left w:val="single" w:sz="2" w:space="0" w:color="000000"/>
              <w:bottom w:val="single" w:sz="2" w:space="0" w:color="000000"/>
              <w:right w:val="single" w:sz="2" w:space="0" w:color="000000"/>
            </w:tcBorders>
          </w:tcPr>
          <w:p w14:paraId="6C730986" w14:textId="7C59F2C8"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Deli </w:t>
            </w:r>
            <w:proofErr w:type="spellStart"/>
            <w:r w:rsidRPr="007D4280">
              <w:rPr>
                <w:rFonts w:ascii="Arial" w:hAnsi="Arial"/>
                <w:color w:val="000000"/>
                <w:sz w:val="16"/>
              </w:rPr>
              <w:t>Express</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144145E1" w14:textId="176A26B6"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Lunch </w:t>
            </w:r>
            <w:proofErr w:type="spellStart"/>
            <w:r w:rsidRPr="007D4280">
              <w:rPr>
                <w:rFonts w:ascii="Arial" w:hAnsi="Arial"/>
                <w:color w:val="000000"/>
                <w:sz w:val="16"/>
              </w:rPr>
              <w:t>Mate</w:t>
            </w:r>
            <w:r w:rsidRPr="007D4280">
              <w:rPr>
                <w:rFonts w:ascii="Arial" w:hAnsi="Arial"/>
                <w:color w:val="000000"/>
                <w:sz w:val="16"/>
                <w:vertAlign w:val="superscript"/>
              </w:rPr>
              <w:t>MD</w:t>
            </w:r>
            <w:proofErr w:type="spellEnd"/>
            <w:r w:rsidRPr="007D4280">
              <w:rPr>
                <w:rFonts w:ascii="Arial" w:hAnsi="Arial"/>
                <w:color w:val="000000"/>
                <w:sz w:val="16"/>
              </w:rPr>
              <w:t xml:space="preserve"> </w:t>
            </w:r>
          </w:p>
        </w:tc>
        <w:tc>
          <w:tcPr>
            <w:tcW w:w="2340" w:type="dxa"/>
            <w:tcBorders>
              <w:top w:val="single" w:sz="2" w:space="0" w:color="000000"/>
              <w:left w:val="single" w:sz="2" w:space="0" w:color="000000"/>
              <w:bottom w:val="single" w:sz="2" w:space="0" w:color="000000"/>
              <w:right w:val="single" w:sz="2" w:space="0" w:color="000000"/>
            </w:tcBorders>
          </w:tcPr>
          <w:p w14:paraId="2722874E" w14:textId="7ED4D648"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Shopsy’s</w:t>
            </w:r>
            <w:r w:rsidRPr="007D4280">
              <w:rPr>
                <w:rFonts w:ascii="Arial" w:hAnsi="Arial"/>
                <w:color w:val="000000"/>
                <w:sz w:val="16"/>
                <w:vertAlign w:val="superscript"/>
              </w:rPr>
              <w:t>MD</w:t>
            </w:r>
            <w:proofErr w:type="spellEnd"/>
            <w:r w:rsidRPr="007D4280">
              <w:rPr>
                <w:rFonts w:ascii="Arial" w:hAnsi="Arial"/>
                <w:color w:val="000000"/>
                <w:sz w:val="16"/>
              </w:rPr>
              <w:t xml:space="preserve"> Deli-</w:t>
            </w:r>
            <w:proofErr w:type="spellStart"/>
            <w:r w:rsidRPr="007D4280">
              <w:rPr>
                <w:rFonts w:ascii="Arial" w:hAnsi="Arial"/>
                <w:color w:val="000000"/>
                <w:sz w:val="16"/>
              </w:rPr>
              <w:t>Fresh</w:t>
            </w:r>
            <w:r w:rsidRPr="007D4280">
              <w:rPr>
                <w:rFonts w:ascii="Arial" w:hAnsi="Arial"/>
                <w:color w:val="000000"/>
                <w:sz w:val="16"/>
                <w:vertAlign w:val="superscript"/>
              </w:rPr>
              <w:t>MD</w:t>
            </w:r>
            <w:proofErr w:type="spellEnd"/>
          </w:p>
        </w:tc>
      </w:tr>
      <w:tr w:rsidR="004A2F18" w:rsidRPr="007D4280" w14:paraId="0AFC40AF" w14:textId="77777777" w:rsidTr="00BD7E95">
        <w:trPr>
          <w:cantSplit/>
          <w:trHeight w:hRule="exact" w:val="545"/>
        </w:trPr>
        <w:tc>
          <w:tcPr>
            <w:tcW w:w="2337" w:type="dxa"/>
            <w:tcBorders>
              <w:top w:val="single" w:sz="2" w:space="0" w:color="000000"/>
              <w:left w:val="single" w:sz="2" w:space="0" w:color="000000"/>
              <w:bottom w:val="single" w:sz="2" w:space="0" w:color="000000"/>
              <w:right w:val="single" w:sz="2" w:space="0" w:color="000000"/>
            </w:tcBorders>
          </w:tcPr>
          <w:p w14:paraId="065AE6E1" w14:textId="4D2FB23E"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Natural Top Dogs® de Maple Leaf®</w:t>
            </w:r>
          </w:p>
        </w:tc>
        <w:tc>
          <w:tcPr>
            <w:tcW w:w="2700" w:type="dxa"/>
            <w:tcBorders>
              <w:top w:val="single" w:sz="2" w:space="0" w:color="000000"/>
              <w:left w:val="single" w:sz="2" w:space="0" w:color="000000"/>
              <w:bottom w:val="single" w:sz="2" w:space="0" w:color="000000"/>
              <w:right w:val="single" w:sz="2" w:space="0" w:color="000000"/>
            </w:tcBorders>
          </w:tcPr>
          <w:p w14:paraId="6857FEC2" w14:textId="21C3E4CF"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Fantino &amp; </w:t>
            </w:r>
            <w:proofErr w:type="spellStart"/>
            <w:r w:rsidRPr="007D4280">
              <w:rPr>
                <w:rFonts w:ascii="Arial" w:hAnsi="Arial"/>
                <w:color w:val="000000"/>
                <w:sz w:val="16"/>
              </w:rPr>
              <w:t>Mondello</w:t>
            </w:r>
            <w:r w:rsidRPr="007D4280">
              <w:rPr>
                <w:rFonts w:ascii="Arial" w:hAnsi="Arial"/>
                <w:color w:val="000000"/>
                <w:sz w:val="16"/>
                <w:vertAlign w:val="superscript"/>
              </w:rPr>
              <w:t>MD</w:t>
            </w:r>
            <w:proofErr w:type="spellEnd"/>
            <w:r w:rsidRPr="007D4280">
              <w:rPr>
                <w:rFonts w:ascii="Arial" w:hAnsi="Arial"/>
                <w:color w:val="000000"/>
                <w:sz w:val="16"/>
              </w:rPr>
              <w:t xml:space="preserve"> </w:t>
            </w:r>
          </w:p>
        </w:tc>
        <w:tc>
          <w:tcPr>
            <w:tcW w:w="1981" w:type="dxa"/>
            <w:tcBorders>
              <w:top w:val="single" w:sz="2" w:space="0" w:color="000000"/>
              <w:left w:val="single" w:sz="2" w:space="0" w:color="000000"/>
              <w:bottom w:val="single" w:sz="2" w:space="0" w:color="000000"/>
              <w:right w:val="single" w:sz="2" w:space="0" w:color="000000"/>
            </w:tcBorders>
          </w:tcPr>
          <w:p w14:paraId="12D53B16" w14:textId="5E5BC978"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Main Street </w:t>
            </w:r>
            <w:proofErr w:type="spellStart"/>
            <w:r w:rsidRPr="007D4280">
              <w:rPr>
                <w:rFonts w:ascii="Arial" w:hAnsi="Arial"/>
                <w:color w:val="000000"/>
                <w:sz w:val="16"/>
              </w:rPr>
              <w:t>Deli</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19486FF8" w14:textId="462D752D"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Sila</w:t>
            </w:r>
            <w:r w:rsidRPr="007D4280">
              <w:rPr>
                <w:rFonts w:ascii="Arial" w:hAnsi="Arial"/>
                <w:color w:val="000000"/>
                <w:sz w:val="16"/>
                <w:vertAlign w:val="superscript"/>
              </w:rPr>
              <w:t>MD</w:t>
            </w:r>
          </w:p>
        </w:tc>
      </w:tr>
      <w:tr w:rsidR="004A2F18" w:rsidRPr="007D4280" w14:paraId="1F9E550E"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0A4A26E9" w14:textId="77777777"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Prime de Maple Leaf®</w:t>
            </w:r>
          </w:p>
        </w:tc>
        <w:tc>
          <w:tcPr>
            <w:tcW w:w="2700" w:type="dxa"/>
            <w:tcBorders>
              <w:top w:val="single" w:sz="2" w:space="0" w:color="000000"/>
              <w:left w:val="single" w:sz="2" w:space="0" w:color="000000"/>
              <w:bottom w:val="single" w:sz="2" w:space="0" w:color="000000"/>
              <w:right w:val="single" w:sz="2" w:space="0" w:color="000000"/>
            </w:tcBorders>
          </w:tcPr>
          <w:p w14:paraId="732DA04E" w14:textId="77777777" w:rsidR="004A2F18" w:rsidRPr="007D4280" w:rsidRDefault="004A2F18" w:rsidP="004A2F18">
            <w:pPr>
              <w:keepNext/>
              <w:spacing w:before="48" w:after="30" w:line="300" w:lineRule="auto"/>
              <w:rPr>
                <w:rFonts w:ascii="Arial" w:eastAsia="Arial" w:hAnsi="Arial" w:cs="Arial"/>
                <w:b/>
                <w:bCs/>
                <w:color w:val="000000"/>
                <w:sz w:val="16"/>
                <w:szCs w:val="16"/>
              </w:rPr>
            </w:pPr>
            <w:r w:rsidRPr="007D4280">
              <w:rPr>
                <w:rFonts w:ascii="Arial" w:hAnsi="Arial"/>
                <w:color w:val="000000"/>
                <w:sz w:val="16"/>
              </w:rPr>
              <w:t xml:space="preserve">Field </w:t>
            </w:r>
            <w:proofErr w:type="spellStart"/>
            <w:r w:rsidRPr="007D4280">
              <w:rPr>
                <w:rFonts w:ascii="Arial" w:hAnsi="Arial"/>
                <w:color w:val="000000"/>
                <w:sz w:val="16"/>
              </w:rPr>
              <w:t>Roast</w:t>
            </w:r>
            <w:proofErr w:type="spellEnd"/>
            <w:r w:rsidRPr="007D4280">
              <w:rPr>
                <w:rFonts w:ascii="Arial" w:hAnsi="Arial"/>
                <w:color w:val="000000"/>
                <w:sz w:val="16"/>
              </w:rPr>
              <w:t xml:space="preserve">™ </w:t>
            </w:r>
          </w:p>
          <w:p w14:paraId="59C367FF" w14:textId="7C6313A9" w:rsidR="004A2F18" w:rsidRPr="007D4280" w:rsidRDefault="004A2F18" w:rsidP="004A2F18">
            <w:pPr>
              <w:keepNext/>
              <w:spacing w:before="48" w:after="30" w:line="300" w:lineRule="auto"/>
              <w:rPr>
                <w:rFonts w:ascii="Arial" w:eastAsia="Arial" w:hAnsi="Arial" w:cs="Arial"/>
                <w:color w:val="000000"/>
                <w:sz w:val="16"/>
                <w:szCs w:val="16"/>
              </w:rPr>
            </w:pPr>
          </w:p>
        </w:tc>
        <w:tc>
          <w:tcPr>
            <w:tcW w:w="1981" w:type="dxa"/>
            <w:tcBorders>
              <w:top w:val="single" w:sz="2" w:space="0" w:color="000000"/>
              <w:left w:val="single" w:sz="2" w:space="0" w:color="000000"/>
              <w:bottom w:val="single" w:sz="2" w:space="0" w:color="000000"/>
              <w:right w:val="single" w:sz="2" w:space="0" w:color="000000"/>
            </w:tcBorders>
          </w:tcPr>
          <w:p w14:paraId="38799A0C" w14:textId="024CD7AA"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Mère </w:t>
            </w:r>
            <w:proofErr w:type="spellStart"/>
            <w:r w:rsidRPr="007D4280">
              <w:rPr>
                <w:rFonts w:ascii="Arial" w:hAnsi="Arial"/>
                <w:color w:val="000000"/>
                <w:sz w:val="16"/>
              </w:rPr>
              <w:t>Michel</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2C17943B" w14:textId="58F52446"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Sunrise</w:t>
            </w:r>
            <w:r w:rsidRPr="007D4280">
              <w:rPr>
                <w:rFonts w:ascii="Arial" w:hAnsi="Arial"/>
                <w:color w:val="000000"/>
                <w:sz w:val="16"/>
                <w:vertAlign w:val="superscript"/>
              </w:rPr>
              <w:t>MD</w:t>
            </w:r>
            <w:proofErr w:type="spellEnd"/>
          </w:p>
        </w:tc>
      </w:tr>
      <w:tr w:rsidR="004A2F18" w:rsidRPr="007D4280" w14:paraId="60FD8D0A" w14:textId="77777777" w:rsidTr="00BD7E95">
        <w:trPr>
          <w:cantSplit/>
          <w:trHeight w:hRule="exact" w:val="752"/>
        </w:trPr>
        <w:tc>
          <w:tcPr>
            <w:tcW w:w="2337" w:type="dxa"/>
            <w:tcBorders>
              <w:top w:val="single" w:sz="2" w:space="0" w:color="000000"/>
              <w:left w:val="single" w:sz="2" w:space="0" w:color="000000"/>
              <w:bottom w:val="single" w:sz="2" w:space="0" w:color="000000"/>
              <w:right w:val="single" w:sz="2" w:space="0" w:color="000000"/>
            </w:tcBorders>
          </w:tcPr>
          <w:p w14:paraId="1831C7B7" w14:textId="39D5C752"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Mighty </w:t>
            </w:r>
            <w:proofErr w:type="spellStart"/>
            <w:r w:rsidRPr="007D4280">
              <w:rPr>
                <w:rFonts w:ascii="Arial" w:hAnsi="Arial"/>
                <w:color w:val="000000"/>
                <w:sz w:val="16"/>
              </w:rPr>
              <w:t>Protein</w:t>
            </w:r>
            <w:r w:rsidRPr="007D4280">
              <w:rPr>
                <w:rFonts w:ascii="Arial" w:hAnsi="Arial"/>
                <w:color w:val="000000"/>
                <w:sz w:val="16"/>
                <w:vertAlign w:val="superscript"/>
              </w:rPr>
              <w:t>MC</w:t>
            </w:r>
            <w:r w:rsidRPr="007D4280">
              <w:rPr>
                <w:rFonts w:ascii="Arial" w:hAnsi="Arial"/>
                <w:color w:val="000000"/>
                <w:sz w:val="16"/>
              </w:rPr>
              <w:t>de</w:t>
            </w:r>
            <w:proofErr w:type="spellEnd"/>
            <w:r w:rsidRPr="007D4280">
              <w:rPr>
                <w:rFonts w:ascii="Arial" w:hAnsi="Arial"/>
                <w:color w:val="000000"/>
                <w:sz w:val="16"/>
              </w:rPr>
              <w:t xml:space="preserve"> Maple Leaf®</w:t>
            </w:r>
          </w:p>
        </w:tc>
        <w:tc>
          <w:tcPr>
            <w:tcW w:w="2700" w:type="dxa"/>
            <w:tcBorders>
              <w:top w:val="single" w:sz="2" w:space="0" w:color="000000"/>
              <w:left w:val="single" w:sz="2" w:space="0" w:color="000000"/>
              <w:bottom w:val="single" w:sz="2" w:space="0" w:color="000000"/>
              <w:right w:val="single" w:sz="2" w:space="0" w:color="000000"/>
            </w:tcBorders>
          </w:tcPr>
          <w:p w14:paraId="48C771D9" w14:textId="386BB8A3" w:rsidR="004A2F18" w:rsidRPr="007D4280" w:rsidRDefault="004A2F18" w:rsidP="004A2F18">
            <w:pPr>
              <w:keepNext/>
              <w:spacing w:before="48" w:after="30" w:line="300" w:lineRule="auto"/>
              <w:rPr>
                <w:rFonts w:ascii="Arial" w:eastAsia="Arial" w:hAnsi="Arial"/>
                <w:b/>
                <w:color w:val="000000"/>
                <w:sz w:val="16"/>
              </w:rPr>
            </w:pPr>
            <w:r w:rsidRPr="007D4280">
              <w:rPr>
                <w:rFonts w:ascii="Arial" w:hAnsi="Arial"/>
                <w:color w:val="000000"/>
                <w:sz w:val="16"/>
              </w:rPr>
              <w:t>Grab ‘N Snack®</w:t>
            </w:r>
          </w:p>
        </w:tc>
        <w:tc>
          <w:tcPr>
            <w:tcW w:w="1981" w:type="dxa"/>
            <w:tcBorders>
              <w:top w:val="single" w:sz="2" w:space="0" w:color="000000"/>
              <w:left w:val="single" w:sz="2" w:space="0" w:color="000000"/>
              <w:bottom w:val="single" w:sz="2" w:space="0" w:color="000000"/>
              <w:right w:val="single" w:sz="2" w:space="0" w:color="000000"/>
            </w:tcBorders>
          </w:tcPr>
          <w:p w14:paraId="26677EC8" w14:textId="58FA4AC8"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Les produits halal Mina® </w:t>
            </w:r>
          </w:p>
        </w:tc>
        <w:tc>
          <w:tcPr>
            <w:tcW w:w="2340" w:type="dxa"/>
            <w:tcBorders>
              <w:top w:val="single" w:sz="2" w:space="0" w:color="000000"/>
              <w:left w:val="single" w:sz="2" w:space="0" w:color="000000"/>
              <w:bottom w:val="single" w:sz="2" w:space="0" w:color="000000"/>
              <w:right w:val="single" w:sz="2" w:space="0" w:color="000000"/>
            </w:tcBorders>
          </w:tcPr>
          <w:p w14:paraId="6B77762D" w14:textId="708CB17E"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Swift</w:t>
            </w:r>
            <w:r w:rsidRPr="007D4280">
              <w:rPr>
                <w:rFonts w:ascii="Arial" w:hAnsi="Arial"/>
                <w:color w:val="000000"/>
                <w:sz w:val="16"/>
                <w:vertAlign w:val="superscript"/>
              </w:rPr>
              <w:t>MD</w:t>
            </w:r>
            <w:proofErr w:type="spellEnd"/>
          </w:p>
        </w:tc>
      </w:tr>
      <w:tr w:rsidR="004A2F18" w:rsidRPr="007D4280" w14:paraId="6DD029AF"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7A1899A9" w14:textId="62965B2B"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Ready </w:t>
            </w:r>
            <w:proofErr w:type="spellStart"/>
            <w:r w:rsidRPr="007D4280">
              <w:rPr>
                <w:rFonts w:ascii="Arial" w:hAnsi="Arial"/>
                <w:color w:val="000000"/>
                <w:sz w:val="16"/>
              </w:rPr>
              <w:t>Crisp</w:t>
            </w:r>
            <w:r w:rsidRPr="007D4280">
              <w:rPr>
                <w:rFonts w:ascii="Arial" w:hAnsi="Arial"/>
                <w:color w:val="000000"/>
                <w:sz w:val="16"/>
                <w:vertAlign w:val="superscript"/>
              </w:rPr>
              <w:t>MD</w:t>
            </w:r>
            <w:proofErr w:type="spellEnd"/>
          </w:p>
        </w:tc>
        <w:tc>
          <w:tcPr>
            <w:tcW w:w="2700" w:type="dxa"/>
            <w:tcBorders>
              <w:top w:val="single" w:sz="2" w:space="0" w:color="000000"/>
              <w:left w:val="single" w:sz="2" w:space="0" w:color="000000"/>
              <w:bottom w:val="single" w:sz="2" w:space="0" w:color="000000"/>
              <w:right w:val="single" w:sz="2" w:space="0" w:color="000000"/>
            </w:tcBorders>
          </w:tcPr>
          <w:p w14:paraId="1CCBF137" w14:textId="17971910"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Greenfield Natural </w:t>
            </w:r>
            <w:proofErr w:type="spellStart"/>
            <w:r w:rsidRPr="007D4280">
              <w:rPr>
                <w:rFonts w:ascii="Arial" w:hAnsi="Arial"/>
                <w:color w:val="000000"/>
                <w:sz w:val="16"/>
              </w:rPr>
              <w:t>Meat</w:t>
            </w:r>
            <w:proofErr w:type="spellEnd"/>
            <w:r w:rsidRPr="007D4280">
              <w:rPr>
                <w:rFonts w:ascii="Arial" w:hAnsi="Arial"/>
                <w:color w:val="000000"/>
                <w:sz w:val="16"/>
              </w:rPr>
              <w:t xml:space="preserve"> Co.</w:t>
            </w:r>
            <w:r w:rsidRPr="007D4280">
              <w:rPr>
                <w:rFonts w:ascii="Arial" w:hAnsi="Arial"/>
                <w:color w:val="000000"/>
                <w:sz w:val="16"/>
                <w:vertAlign w:val="superscript"/>
              </w:rPr>
              <w:t>®</w:t>
            </w:r>
            <w:r w:rsidRPr="007D4280">
              <w:rPr>
                <w:rFonts w:ascii="Arial" w:hAnsi="Arial"/>
                <w:color w:val="000000"/>
                <w:sz w:val="16"/>
              </w:rPr>
              <w:t xml:space="preserve"> </w:t>
            </w:r>
          </w:p>
        </w:tc>
        <w:tc>
          <w:tcPr>
            <w:tcW w:w="1981" w:type="dxa"/>
            <w:tcBorders>
              <w:top w:val="single" w:sz="2" w:space="0" w:color="000000"/>
              <w:left w:val="single" w:sz="2" w:space="0" w:color="000000"/>
              <w:bottom w:val="single" w:sz="2" w:space="0" w:color="000000"/>
              <w:right w:val="single" w:sz="2" w:space="0" w:color="000000"/>
            </w:tcBorders>
          </w:tcPr>
          <w:p w14:paraId="56F19888" w14:textId="1513B314"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Mitchell’s</w:t>
            </w:r>
            <w:r w:rsidRPr="007D4280">
              <w:rPr>
                <w:rFonts w:ascii="Arial" w:hAnsi="Arial"/>
                <w:color w:val="000000"/>
                <w:sz w:val="16"/>
                <w:vertAlign w:val="superscript"/>
              </w:rPr>
              <w:t>MC</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0D75732C" w14:textId="1D62FB62"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Swift </w:t>
            </w:r>
            <w:proofErr w:type="spellStart"/>
            <w:r w:rsidRPr="007D4280">
              <w:rPr>
                <w:rFonts w:ascii="Arial" w:hAnsi="Arial"/>
                <w:color w:val="000000"/>
                <w:sz w:val="16"/>
              </w:rPr>
              <w:t>Premium</w:t>
            </w:r>
            <w:r w:rsidRPr="007D4280">
              <w:rPr>
                <w:rFonts w:ascii="Arial" w:hAnsi="Arial"/>
                <w:color w:val="000000"/>
                <w:sz w:val="16"/>
                <w:vertAlign w:val="superscript"/>
              </w:rPr>
              <w:t>MD</w:t>
            </w:r>
            <w:proofErr w:type="spellEnd"/>
          </w:p>
        </w:tc>
      </w:tr>
      <w:tr w:rsidR="004A2F18" w:rsidRPr="007D4280" w14:paraId="0294B93F" w14:textId="77777777" w:rsidTr="00BD7E95">
        <w:trPr>
          <w:cantSplit/>
          <w:trHeight w:hRule="exact" w:val="950"/>
        </w:trPr>
        <w:tc>
          <w:tcPr>
            <w:tcW w:w="2337" w:type="dxa"/>
            <w:tcBorders>
              <w:top w:val="single" w:sz="2" w:space="0" w:color="000000"/>
              <w:left w:val="single" w:sz="2" w:space="0" w:color="000000"/>
              <w:bottom w:val="single" w:sz="2" w:space="0" w:color="000000"/>
              <w:right w:val="single" w:sz="2" w:space="0" w:color="000000"/>
            </w:tcBorders>
          </w:tcPr>
          <w:p w14:paraId="65DC2272" w14:textId="20FA1EF1"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Schneiders®</w:t>
            </w:r>
          </w:p>
        </w:tc>
        <w:tc>
          <w:tcPr>
            <w:tcW w:w="2700" w:type="dxa"/>
            <w:tcBorders>
              <w:top w:val="single" w:sz="2" w:space="0" w:color="000000"/>
              <w:left w:val="single" w:sz="2" w:space="0" w:color="000000"/>
              <w:bottom w:val="single" w:sz="2" w:space="0" w:color="000000"/>
              <w:right w:val="single" w:sz="2" w:space="0" w:color="000000"/>
            </w:tcBorders>
          </w:tcPr>
          <w:p w14:paraId="492263A1" w14:textId="1AA9381B"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Holiday</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4754E6C3" w14:textId="02559551"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Musafir</w:t>
            </w:r>
            <w:proofErr w:type="spellEnd"/>
            <w:r w:rsidRPr="007D4280">
              <w:rPr>
                <w:rFonts w:ascii="Arial" w:hAnsi="Arial"/>
                <w:color w:val="000000"/>
                <w:sz w:val="16"/>
              </w:rPr>
              <w:t>™</w:t>
            </w:r>
          </w:p>
        </w:tc>
        <w:tc>
          <w:tcPr>
            <w:tcW w:w="2340" w:type="dxa"/>
            <w:tcBorders>
              <w:top w:val="single" w:sz="2" w:space="0" w:color="000000"/>
              <w:left w:val="single" w:sz="2" w:space="0" w:color="000000"/>
              <w:bottom w:val="single" w:sz="2" w:space="0" w:color="000000"/>
              <w:right w:val="single" w:sz="2" w:space="0" w:color="000000"/>
            </w:tcBorders>
          </w:tcPr>
          <w:p w14:paraId="1F25A76D" w14:textId="7952978B"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Viau</w:t>
            </w:r>
            <w:r w:rsidRPr="007D4280">
              <w:rPr>
                <w:rFonts w:ascii="Arial" w:hAnsi="Arial"/>
                <w:color w:val="000000"/>
                <w:sz w:val="16"/>
                <w:vertAlign w:val="superscript"/>
              </w:rPr>
              <w:t>MD</w:t>
            </w:r>
            <w:proofErr w:type="spellEnd"/>
          </w:p>
        </w:tc>
      </w:tr>
      <w:tr w:rsidR="004A2F18" w:rsidRPr="007D4280" w14:paraId="6F2FA392"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1E9365A7" w14:textId="3681BBE6"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Blue Ribbon® de Schneiders®</w:t>
            </w:r>
          </w:p>
        </w:tc>
        <w:tc>
          <w:tcPr>
            <w:tcW w:w="2700" w:type="dxa"/>
            <w:tcBorders>
              <w:top w:val="single" w:sz="2" w:space="0" w:color="000000"/>
              <w:left w:val="single" w:sz="2" w:space="0" w:color="000000"/>
              <w:bottom w:val="single" w:sz="2" w:space="0" w:color="000000"/>
              <w:right w:val="single" w:sz="2" w:space="0" w:color="000000"/>
            </w:tcBorders>
          </w:tcPr>
          <w:p w14:paraId="17AF8141" w14:textId="68DA2D9C"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Hot </w:t>
            </w:r>
            <w:proofErr w:type="spellStart"/>
            <w:r w:rsidRPr="007D4280">
              <w:rPr>
                <w:rFonts w:ascii="Arial" w:hAnsi="Arial"/>
                <w:color w:val="000000"/>
                <w:sz w:val="16"/>
              </w:rPr>
              <w:t>Rod</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42FE4CF7" w14:textId="284DE5FF"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Oh </w:t>
            </w:r>
            <w:proofErr w:type="spellStart"/>
            <w:proofErr w:type="gramStart"/>
            <w:r w:rsidRPr="007D4280">
              <w:rPr>
                <w:rFonts w:ascii="Arial" w:hAnsi="Arial"/>
                <w:color w:val="000000"/>
                <w:sz w:val="16"/>
              </w:rPr>
              <w:t>Naturel!</w:t>
            </w:r>
            <w:r w:rsidRPr="007D4280">
              <w:rPr>
                <w:rFonts w:ascii="Arial" w:hAnsi="Arial"/>
                <w:color w:val="000000"/>
                <w:sz w:val="16"/>
                <w:vertAlign w:val="superscript"/>
              </w:rPr>
              <w:t>MD</w:t>
            </w:r>
            <w:proofErr w:type="spellEnd"/>
            <w:proofErr w:type="gramEnd"/>
          </w:p>
        </w:tc>
        <w:tc>
          <w:tcPr>
            <w:tcW w:w="2340" w:type="dxa"/>
            <w:tcBorders>
              <w:top w:val="single" w:sz="2" w:space="0" w:color="000000"/>
              <w:left w:val="single" w:sz="2" w:space="0" w:color="000000"/>
              <w:bottom w:val="single" w:sz="2" w:space="0" w:color="000000"/>
              <w:right w:val="single" w:sz="2" w:space="0" w:color="000000"/>
            </w:tcBorders>
          </w:tcPr>
          <w:p w14:paraId="30DB7BF8" w14:textId="169A31FD" w:rsidR="004A2F18" w:rsidRPr="007D4280" w:rsidRDefault="004A2F18" w:rsidP="004A2F18">
            <w:pPr>
              <w:keepNext/>
              <w:spacing w:before="48" w:after="30" w:line="300" w:lineRule="auto"/>
              <w:rPr>
                <w:rFonts w:ascii="Arial" w:eastAsia="Arial" w:hAnsi="Arial" w:cs="Arial"/>
                <w:color w:val="000000"/>
                <w:sz w:val="16"/>
                <w:szCs w:val="16"/>
              </w:rPr>
            </w:pPr>
          </w:p>
        </w:tc>
      </w:tr>
      <w:tr w:rsidR="004A2F18" w:rsidRPr="007D4280" w14:paraId="2AC6DCA7"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11A30703" w14:textId="77777777"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Deli Best de Schneiders®</w:t>
            </w:r>
          </w:p>
        </w:tc>
        <w:tc>
          <w:tcPr>
            <w:tcW w:w="2700" w:type="dxa"/>
            <w:tcBorders>
              <w:top w:val="single" w:sz="2" w:space="0" w:color="000000"/>
              <w:left w:val="single" w:sz="2" w:space="0" w:color="000000"/>
              <w:bottom w:val="single" w:sz="2" w:space="0" w:color="000000"/>
              <w:right w:val="single" w:sz="2" w:space="0" w:color="000000"/>
            </w:tcBorders>
          </w:tcPr>
          <w:p w14:paraId="3650B204" w14:textId="1514B6A8"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Hygrade</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50CA1892" w14:textId="4F7D2980"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Oktoberfest</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741D8010" w14:textId="347C7F11" w:rsidR="004A2F18" w:rsidRPr="007D4280" w:rsidRDefault="004A2F18" w:rsidP="004A2F18">
            <w:pPr>
              <w:keepNext/>
              <w:spacing w:before="48" w:after="30" w:line="300" w:lineRule="auto"/>
              <w:rPr>
                <w:rFonts w:ascii="Arial" w:eastAsia="Arial" w:hAnsi="Arial" w:cs="Arial"/>
                <w:color w:val="000000"/>
                <w:sz w:val="16"/>
                <w:szCs w:val="16"/>
              </w:rPr>
            </w:pPr>
          </w:p>
        </w:tc>
      </w:tr>
      <w:tr w:rsidR="004A2F18" w:rsidRPr="007D4280" w14:paraId="1674DA25"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2A0BA971" w14:textId="77777777"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Big </w:t>
            </w:r>
            <w:proofErr w:type="spellStart"/>
            <w:proofErr w:type="gramStart"/>
            <w:r w:rsidRPr="007D4280">
              <w:rPr>
                <w:rFonts w:ascii="Arial" w:hAnsi="Arial"/>
                <w:color w:val="000000"/>
                <w:sz w:val="16"/>
              </w:rPr>
              <w:t>Stick!</w:t>
            </w:r>
            <w:r w:rsidRPr="007D4280">
              <w:rPr>
                <w:rFonts w:ascii="Arial" w:hAnsi="Arial"/>
                <w:color w:val="000000"/>
                <w:sz w:val="16"/>
                <w:vertAlign w:val="superscript"/>
              </w:rPr>
              <w:t>MD</w:t>
            </w:r>
            <w:proofErr w:type="spellEnd"/>
            <w:proofErr w:type="gramEnd"/>
          </w:p>
        </w:tc>
        <w:tc>
          <w:tcPr>
            <w:tcW w:w="2700" w:type="dxa"/>
            <w:tcBorders>
              <w:top w:val="single" w:sz="2" w:space="0" w:color="000000"/>
              <w:left w:val="single" w:sz="2" w:space="0" w:color="000000"/>
              <w:bottom w:val="single" w:sz="2" w:space="0" w:color="000000"/>
              <w:right w:val="single" w:sz="2" w:space="0" w:color="000000"/>
            </w:tcBorders>
          </w:tcPr>
          <w:p w14:paraId="1C70256D" w14:textId="56AFFD9B"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Juicy</w:t>
            </w:r>
            <w:proofErr w:type="spellEnd"/>
            <w:r w:rsidRPr="007D4280">
              <w:rPr>
                <w:rFonts w:ascii="Arial" w:hAnsi="Arial"/>
                <w:color w:val="000000"/>
                <w:sz w:val="16"/>
              </w:rPr>
              <w:t xml:space="preserve"> </w:t>
            </w:r>
            <w:proofErr w:type="spellStart"/>
            <w:r w:rsidRPr="007D4280">
              <w:rPr>
                <w:rFonts w:ascii="Arial" w:hAnsi="Arial"/>
                <w:color w:val="000000"/>
                <w:sz w:val="16"/>
              </w:rPr>
              <w:t>Jumbos</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1558841E" w14:textId="0FADF762"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Olympic</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7FD12B3E" w14:textId="77777777" w:rsidR="004A2F18" w:rsidRPr="007D4280" w:rsidRDefault="004A2F18" w:rsidP="004A2F18">
            <w:pPr>
              <w:keepNext/>
              <w:spacing w:before="48" w:after="30" w:line="300" w:lineRule="auto"/>
              <w:rPr>
                <w:rFonts w:ascii="Arial" w:eastAsia="Arial" w:hAnsi="Arial" w:cs="Arial"/>
                <w:color w:val="000000"/>
                <w:sz w:val="16"/>
                <w:szCs w:val="16"/>
              </w:rPr>
            </w:pPr>
          </w:p>
        </w:tc>
      </w:tr>
      <w:tr w:rsidR="004A2F18" w:rsidRPr="007D4280" w14:paraId="4D336907"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1BE17138" w14:textId="77777777"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Bittner’s</w:t>
            </w:r>
            <w:r w:rsidRPr="007D4280">
              <w:rPr>
                <w:rFonts w:ascii="Arial" w:hAnsi="Arial"/>
                <w:color w:val="000000"/>
                <w:sz w:val="16"/>
                <w:vertAlign w:val="superscript"/>
              </w:rPr>
              <w:t>MD</w:t>
            </w:r>
            <w:proofErr w:type="spellEnd"/>
          </w:p>
        </w:tc>
        <w:tc>
          <w:tcPr>
            <w:tcW w:w="2700" w:type="dxa"/>
            <w:tcBorders>
              <w:top w:val="single" w:sz="2" w:space="0" w:color="000000"/>
              <w:left w:val="single" w:sz="2" w:space="0" w:color="000000"/>
              <w:bottom w:val="single" w:sz="2" w:space="0" w:color="000000"/>
              <w:right w:val="single" w:sz="2" w:space="0" w:color="000000"/>
            </w:tcBorders>
          </w:tcPr>
          <w:p w14:paraId="32C13887" w14:textId="38A11473"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Kam</w:t>
            </w:r>
            <w:r w:rsidRPr="007D4280">
              <w:rPr>
                <w:rFonts w:ascii="Arial" w:hAnsi="Arial"/>
                <w:color w:val="000000"/>
                <w:sz w:val="16"/>
                <w:vertAlign w:val="superscript"/>
              </w:rPr>
              <w:t>MD</w:t>
            </w:r>
          </w:p>
        </w:tc>
        <w:tc>
          <w:tcPr>
            <w:tcW w:w="1981" w:type="dxa"/>
            <w:tcBorders>
              <w:top w:val="single" w:sz="2" w:space="0" w:color="000000"/>
              <w:left w:val="single" w:sz="2" w:space="0" w:color="000000"/>
              <w:bottom w:val="single" w:sz="2" w:space="0" w:color="000000"/>
              <w:right w:val="single" w:sz="2" w:space="0" w:color="000000"/>
            </w:tcBorders>
          </w:tcPr>
          <w:p w14:paraId="39A25BF3" w14:textId="477F8672"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Parma</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24AE4901" w14:textId="77777777" w:rsidR="004A2F18" w:rsidRPr="007D4280" w:rsidRDefault="004A2F18" w:rsidP="004A2F18">
            <w:pPr>
              <w:keepNext/>
              <w:spacing w:before="48" w:after="30" w:line="300" w:lineRule="auto"/>
              <w:rPr>
                <w:rFonts w:ascii="Arial" w:eastAsia="Arial" w:hAnsi="Arial" w:cs="Arial"/>
                <w:color w:val="000000"/>
                <w:sz w:val="16"/>
                <w:szCs w:val="16"/>
              </w:rPr>
            </w:pPr>
          </w:p>
        </w:tc>
      </w:tr>
      <w:tr w:rsidR="004A2F18" w:rsidRPr="007D4280" w14:paraId="13063167" w14:textId="77777777" w:rsidTr="00BD7E95">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48511E30" w14:textId="77777777"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Burns</w:t>
            </w:r>
            <w:r w:rsidRPr="007D4280">
              <w:rPr>
                <w:rFonts w:ascii="Arial" w:hAnsi="Arial"/>
                <w:color w:val="000000"/>
                <w:sz w:val="16"/>
                <w:vertAlign w:val="superscript"/>
              </w:rPr>
              <w:t>MD</w:t>
            </w:r>
            <w:proofErr w:type="spellEnd"/>
          </w:p>
        </w:tc>
        <w:tc>
          <w:tcPr>
            <w:tcW w:w="2700" w:type="dxa"/>
            <w:tcBorders>
              <w:top w:val="single" w:sz="2" w:space="0" w:color="000000"/>
              <w:left w:val="single" w:sz="2" w:space="0" w:color="000000"/>
              <w:bottom w:val="single" w:sz="2" w:space="0" w:color="000000"/>
              <w:right w:val="single" w:sz="2" w:space="0" w:color="000000"/>
            </w:tcBorders>
          </w:tcPr>
          <w:p w14:paraId="6AFFFFCF" w14:textId="76B5956A"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Klik</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7A05A95F" w14:textId="302E57E8"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Pepperettes</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463FA769" w14:textId="77777777" w:rsidR="004A2F18" w:rsidRPr="007D4280" w:rsidRDefault="004A2F18" w:rsidP="004A2F18">
            <w:pPr>
              <w:keepNext/>
              <w:spacing w:before="48" w:after="30" w:line="300" w:lineRule="auto"/>
              <w:rPr>
                <w:rFonts w:ascii="Arial" w:eastAsia="Arial" w:hAnsi="Arial" w:cs="Arial"/>
                <w:color w:val="000000"/>
                <w:sz w:val="16"/>
                <w:szCs w:val="16"/>
              </w:rPr>
            </w:pPr>
          </w:p>
        </w:tc>
      </w:tr>
      <w:tr w:rsidR="004A2F18" w:rsidRPr="007D4280" w14:paraId="54573BA7" w14:textId="77777777" w:rsidTr="00C11919">
        <w:trPr>
          <w:cantSplit/>
          <w:trHeight w:hRule="exact" w:val="315"/>
        </w:trPr>
        <w:tc>
          <w:tcPr>
            <w:tcW w:w="2337" w:type="dxa"/>
            <w:tcBorders>
              <w:top w:val="single" w:sz="2" w:space="0" w:color="000000"/>
              <w:left w:val="single" w:sz="2" w:space="0" w:color="000000"/>
              <w:bottom w:val="single" w:sz="2" w:space="0" w:color="000000"/>
              <w:right w:val="single" w:sz="2" w:space="0" w:color="000000"/>
            </w:tcBorders>
          </w:tcPr>
          <w:p w14:paraId="6FA1F01E" w14:textId="2D6486EB"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Cappola</w:t>
            </w:r>
            <w:r w:rsidRPr="007D4280">
              <w:rPr>
                <w:rFonts w:ascii="Arial" w:hAnsi="Arial"/>
                <w:color w:val="000000"/>
                <w:sz w:val="16"/>
                <w:vertAlign w:val="superscript"/>
              </w:rPr>
              <w:t>MC</w:t>
            </w:r>
            <w:proofErr w:type="spellEnd"/>
          </w:p>
        </w:tc>
        <w:tc>
          <w:tcPr>
            <w:tcW w:w="2700" w:type="dxa"/>
            <w:tcBorders>
              <w:top w:val="single" w:sz="2" w:space="0" w:color="000000"/>
              <w:left w:val="single" w:sz="2" w:space="0" w:color="000000"/>
              <w:bottom w:val="single" w:sz="2" w:space="0" w:color="000000"/>
              <w:right w:val="single" w:sz="2" w:space="0" w:color="000000"/>
            </w:tcBorders>
          </w:tcPr>
          <w:p w14:paraId="3285957A" w14:textId="2F31F879" w:rsidR="004A2F18" w:rsidRPr="007D4280" w:rsidRDefault="004A2F18" w:rsidP="004A2F18">
            <w:pPr>
              <w:keepNext/>
              <w:spacing w:before="48" w:after="30" w:line="300" w:lineRule="auto"/>
              <w:rPr>
                <w:rFonts w:ascii="Arial" w:eastAsia="Arial" w:hAnsi="Arial" w:cs="Arial"/>
                <w:color w:val="000000"/>
                <w:sz w:val="16"/>
                <w:szCs w:val="16"/>
              </w:rPr>
            </w:pPr>
            <w:proofErr w:type="spellStart"/>
            <w:r w:rsidRPr="007D4280">
              <w:rPr>
                <w:rFonts w:ascii="Arial" w:hAnsi="Arial"/>
                <w:color w:val="000000"/>
                <w:sz w:val="16"/>
              </w:rPr>
              <w:t>Larsen</w:t>
            </w:r>
            <w:r w:rsidRPr="007D4280">
              <w:rPr>
                <w:rFonts w:ascii="Arial" w:hAnsi="Arial"/>
                <w:color w:val="000000"/>
                <w:sz w:val="16"/>
                <w:vertAlign w:val="superscript"/>
              </w:rPr>
              <w:t>MD</w:t>
            </w:r>
            <w:proofErr w:type="spellEnd"/>
          </w:p>
        </w:tc>
        <w:tc>
          <w:tcPr>
            <w:tcW w:w="1981" w:type="dxa"/>
            <w:tcBorders>
              <w:top w:val="single" w:sz="2" w:space="0" w:color="000000"/>
              <w:left w:val="single" w:sz="2" w:space="0" w:color="000000"/>
              <w:bottom w:val="single" w:sz="2" w:space="0" w:color="000000"/>
              <w:right w:val="single" w:sz="2" w:space="0" w:color="000000"/>
            </w:tcBorders>
          </w:tcPr>
          <w:p w14:paraId="49C4366C" w14:textId="7CEF3A04" w:rsidR="004A2F18" w:rsidRPr="007D4280" w:rsidRDefault="004A2F18" w:rsidP="004A2F18">
            <w:pPr>
              <w:keepNext/>
              <w:spacing w:before="48" w:after="30" w:line="300" w:lineRule="auto"/>
              <w:rPr>
                <w:rFonts w:ascii="Arial" w:eastAsia="Arial" w:hAnsi="Arial" w:cs="Arial"/>
                <w:color w:val="000000"/>
                <w:sz w:val="16"/>
                <w:szCs w:val="16"/>
              </w:rPr>
            </w:pPr>
            <w:r w:rsidRPr="007D4280">
              <w:rPr>
                <w:rFonts w:ascii="Arial" w:hAnsi="Arial"/>
                <w:color w:val="000000"/>
                <w:sz w:val="16"/>
              </w:rPr>
              <w:t xml:space="preserve">Red </w:t>
            </w:r>
            <w:proofErr w:type="spellStart"/>
            <w:r w:rsidRPr="007D4280">
              <w:rPr>
                <w:rFonts w:ascii="Arial" w:hAnsi="Arial"/>
                <w:color w:val="000000"/>
                <w:sz w:val="16"/>
              </w:rPr>
              <w:t>Hots</w:t>
            </w:r>
            <w:r w:rsidRPr="007D4280">
              <w:rPr>
                <w:rFonts w:ascii="Arial" w:hAnsi="Arial"/>
                <w:color w:val="000000"/>
                <w:sz w:val="16"/>
                <w:vertAlign w:val="superscript"/>
              </w:rPr>
              <w:t>MD</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0768A38E" w14:textId="77777777" w:rsidR="004A2F18" w:rsidRPr="007D4280" w:rsidRDefault="004A2F18" w:rsidP="004A2F18">
            <w:pPr>
              <w:keepNext/>
              <w:spacing w:before="48" w:after="30" w:line="300" w:lineRule="auto"/>
              <w:rPr>
                <w:rFonts w:ascii="Arial" w:eastAsia="Arial" w:hAnsi="Arial" w:cs="Arial"/>
                <w:color w:val="000000"/>
                <w:sz w:val="16"/>
                <w:szCs w:val="16"/>
              </w:rPr>
            </w:pPr>
          </w:p>
        </w:tc>
      </w:tr>
    </w:tbl>
    <w:p w14:paraId="319850EF" w14:textId="6CCA6952" w:rsidR="0013141D" w:rsidRPr="007D4280" w:rsidRDefault="0013141D" w:rsidP="0013141D">
      <w:pPr>
        <w:spacing w:after="120" w:line="300" w:lineRule="auto"/>
        <w:rPr>
          <w:rFonts w:ascii="Arial" w:eastAsia="Arial" w:hAnsi="Arial" w:cs="Arial"/>
          <w:sz w:val="18"/>
        </w:rPr>
      </w:pPr>
    </w:p>
    <w:p w14:paraId="3B659D71" w14:textId="77777777" w:rsidR="0013141D" w:rsidRPr="007D4280" w:rsidRDefault="00152032" w:rsidP="0013141D">
      <w:pPr>
        <w:spacing w:after="120" w:line="300" w:lineRule="auto"/>
        <w:rPr>
          <w:rFonts w:ascii="Arial" w:eastAsia="Arial" w:hAnsi="Arial" w:cs="Arial"/>
          <w:sz w:val="18"/>
        </w:rPr>
      </w:pPr>
      <w:r w:rsidRPr="007D4280">
        <w:rPr>
          <w:rFonts w:ascii="Arial" w:hAnsi="Arial"/>
          <w:sz w:val="18"/>
        </w:rPr>
        <w:t>La Société lance régulièrement de nouveaux produits sous ses marques à l’intention de ses clients et des consommateurs. Les nouveaux produits sont faits à partir de protéines végétales, de poulet, de porc, de dinde et de bœuf et peuvent inclure des produits de viande frais et surgelés, des plats cuisinés réfrigérés prêts à réchauffer, des produits de charcuterie en format familial, des produits ethniques, des trousses-repas et des collations protéinées fraîches.</w:t>
      </w:r>
    </w:p>
    <w:p w14:paraId="1E37EEC8" w14:textId="4455CFDE" w:rsidR="005E5C1E" w:rsidRPr="007D4280" w:rsidRDefault="00152032" w:rsidP="0013141D">
      <w:pPr>
        <w:spacing w:after="120" w:line="300" w:lineRule="auto"/>
        <w:rPr>
          <w:rFonts w:ascii="Arial" w:eastAsia="Arial" w:hAnsi="Arial" w:cs="Arial"/>
          <w:sz w:val="18"/>
        </w:rPr>
      </w:pPr>
      <w:r w:rsidRPr="007D4280">
        <w:rPr>
          <w:rFonts w:ascii="Arial" w:hAnsi="Arial"/>
          <w:sz w:val="18"/>
        </w:rPr>
        <w:t>La Société détient également des droits de propriété intellectuelle clés sur des noms de domaine, des conceptions d’emballages, des secrets commerciaux, des renseignements et des savoirs confidentiels, y compris des formules et des caractéristiques de produits.</w:t>
      </w:r>
    </w:p>
    <w:p w14:paraId="32381D8D" w14:textId="77777777" w:rsidR="00942311" w:rsidRPr="007D4280" w:rsidRDefault="00152032" w:rsidP="00942311">
      <w:pPr>
        <w:pStyle w:val="AIF-Level2"/>
        <w:outlineLvl w:val="1"/>
      </w:pPr>
      <w:bookmarkStart w:id="23" w:name="_Toc226985973"/>
      <w:bookmarkStart w:id="24" w:name="_Hlk223113935"/>
      <w:bookmarkStart w:id="25" w:name="_Hlk122350301"/>
      <w:bookmarkEnd w:id="21"/>
      <w:r w:rsidRPr="007D4280">
        <w:t>Relations avec les employés et relations de travail</w:t>
      </w:r>
      <w:bookmarkEnd w:id="23"/>
    </w:p>
    <w:p w14:paraId="726E5203" w14:textId="6689F5D2" w:rsidR="00C2007A" w:rsidRPr="007D4280" w:rsidRDefault="00152032" w:rsidP="00BD7E95">
      <w:pPr>
        <w:spacing w:after="120"/>
        <w:rPr>
          <w:rFonts w:ascii="Arial" w:eastAsia="Arial" w:hAnsi="Arial"/>
          <w:b/>
          <w:sz w:val="18"/>
        </w:rPr>
      </w:pPr>
      <w:r w:rsidRPr="007D4280">
        <w:rPr>
          <w:rFonts w:ascii="Arial" w:hAnsi="Arial"/>
          <w:sz w:val="18"/>
        </w:rPr>
        <w:t xml:space="preserve">Au 31 décembre 2025, l’effectif de la Société comptait environ 9 600 personnes, dont 5 800 étaient couvertes par l’une des quelque 14 conventions collectives. Les employés couverts par ces conventions collectives sont représentés par les syndicats suivants : les Travailleurs et travailleuses unis de l’alimentation et du commerce (le plus important), </w:t>
      </w:r>
      <w:proofErr w:type="spellStart"/>
      <w:r w:rsidRPr="007D4280">
        <w:rPr>
          <w:rFonts w:ascii="Arial" w:hAnsi="Arial"/>
          <w:sz w:val="18"/>
        </w:rPr>
        <w:t>Unifor</w:t>
      </w:r>
      <w:proofErr w:type="spellEnd"/>
      <w:r w:rsidRPr="007D4280">
        <w:rPr>
          <w:rFonts w:ascii="Arial" w:hAnsi="Arial"/>
          <w:sz w:val="18"/>
        </w:rPr>
        <w:t xml:space="preserve">, les Métallos et l’International Union of Operating </w:t>
      </w:r>
      <w:proofErr w:type="spellStart"/>
      <w:r w:rsidRPr="007D4280">
        <w:rPr>
          <w:rFonts w:ascii="Arial" w:hAnsi="Arial"/>
          <w:sz w:val="18"/>
        </w:rPr>
        <w:t>Engineers</w:t>
      </w:r>
      <w:proofErr w:type="spellEnd"/>
      <w:r w:rsidRPr="007D4280">
        <w:rPr>
          <w:rFonts w:ascii="Arial" w:hAnsi="Arial"/>
          <w:sz w:val="18"/>
        </w:rPr>
        <w:t xml:space="preserve">. La durée de ces conventions varie et au cours d’une année donnée, plusieurs conventions viennent à échéance et sont renégociées; la plupart des renouvellements se déroulent sans obstacle majeur. Toutefois, si l’échéance d’une convention collective couvrant un nombre considérable d’employés ou certains employés clés provoquait un arrêt de travail, rien ne peut garantir que l’arrêt de travail n’aurait pas de conséquences négatives importantes sur la situation financière et les résultats d’exploitation de la Société. Début janvier 2026, la Société et le syndicat représentant environ 1 900 salariés syndiqués de notre usine de Lagimodière, à Winnipeg, ont pu ratifier une convention collective d’une durée de cinq ans. </w:t>
      </w:r>
    </w:p>
    <w:p w14:paraId="5DF9E15C" w14:textId="210DA058" w:rsidR="00DC0316" w:rsidRPr="007D4280" w:rsidRDefault="00152032" w:rsidP="00C2007A">
      <w:pPr>
        <w:spacing w:after="120" w:line="300" w:lineRule="auto"/>
        <w:rPr>
          <w:rFonts w:ascii="Arial" w:eastAsia="Arial" w:hAnsi="Arial" w:cs="Arial"/>
          <w:sz w:val="18"/>
        </w:rPr>
      </w:pPr>
      <w:bookmarkStart w:id="26" w:name="_Hlk223114068"/>
      <w:bookmarkEnd w:id="24"/>
      <w:r w:rsidRPr="007D4280">
        <w:rPr>
          <w:rFonts w:ascii="Arial" w:hAnsi="Arial"/>
          <w:sz w:val="18"/>
        </w:rPr>
        <w:t>Parmi les principales conventions collectives qui feront l’objet de négociations en 2026 figurent celles de l’établissement Canning à Mississauga (Ontario), de l’établissement Heritage à Hamilton (Ontario) et des deux établissements Cappola à Toronto (Ontario).</w:t>
      </w:r>
    </w:p>
    <w:p w14:paraId="4ED0D996" w14:textId="77777777" w:rsidR="00124E60" w:rsidRPr="007D4280" w:rsidRDefault="00152032" w:rsidP="00124E60">
      <w:pPr>
        <w:pStyle w:val="AIF-Level2"/>
        <w:outlineLvl w:val="1"/>
      </w:pPr>
      <w:bookmarkStart w:id="27" w:name="_Toc226985974"/>
      <w:bookmarkStart w:id="28" w:name="_Hlk157366679"/>
      <w:bookmarkEnd w:id="25"/>
      <w:bookmarkEnd w:id="26"/>
      <w:r w:rsidRPr="007D4280">
        <w:t>Sécurité</w:t>
      </w:r>
      <w:bookmarkEnd w:id="27"/>
    </w:p>
    <w:p w14:paraId="3D383685" w14:textId="691A2D56" w:rsidR="00124E60" w:rsidRPr="007D4280" w:rsidRDefault="00152032" w:rsidP="00124E60">
      <w:pPr>
        <w:spacing w:after="120" w:line="300" w:lineRule="auto"/>
        <w:rPr>
          <w:rFonts w:ascii="Arial" w:eastAsia="Arial" w:hAnsi="Arial" w:cs="Arial"/>
          <w:sz w:val="18"/>
        </w:rPr>
      </w:pPr>
      <w:r w:rsidRPr="007D4280">
        <w:rPr>
          <w:rFonts w:ascii="Arial" w:hAnsi="Arial"/>
          <w:sz w:val="18"/>
        </w:rPr>
        <w:t>Pour la Société, la santé et la sécurité au travail (SST) sont des priorités absolues. Son objectif en matière de SST demeure clair : zéro blessure au travail, fondé sur un engagement ferme envers la sécurité des employés. Grâce à la promesse de la Société en matière de sécurité et à l’amélioration continue des protocoles de sécurité, le taux total d’incidents enregistrables de 2025 a diminué de 94,7 % par rapport à l’année de référence 2012. Ce taux pour 2025 était de 0,33, et 15 établissements n’ont affiché aucune blessure enregistrable (excluant Canada Packers). La Société a affiché un rendement de calibre mondial en matière de santé et sécurité au travail ces huit dernières années dans le secteur de la fabrication en Amérique du Nord</w:t>
      </w:r>
      <w:r w:rsidR="00072330">
        <w:rPr>
          <w:rFonts w:ascii="Arial" w:hAnsi="Arial"/>
          <w:sz w:val="18"/>
        </w:rPr>
        <w:t>,</w:t>
      </w:r>
      <w:r w:rsidRPr="007D4280">
        <w:rPr>
          <w:rFonts w:ascii="Arial" w:hAnsi="Arial"/>
          <w:sz w:val="18"/>
        </w:rPr>
        <w:t xml:space="preserve"> selon le United States Bureau of Labor </w:t>
      </w:r>
      <w:proofErr w:type="spellStart"/>
      <w:r w:rsidRPr="007D4280">
        <w:rPr>
          <w:rFonts w:ascii="Arial" w:hAnsi="Arial"/>
          <w:sz w:val="18"/>
        </w:rPr>
        <w:t>Statistics</w:t>
      </w:r>
      <w:proofErr w:type="spellEnd"/>
      <w:r w:rsidRPr="007D4280">
        <w:rPr>
          <w:rFonts w:ascii="Arial" w:hAnsi="Arial"/>
          <w:sz w:val="18"/>
        </w:rPr>
        <w:t>.</w:t>
      </w:r>
    </w:p>
    <w:p w14:paraId="6CA3ED1F" w14:textId="77777777" w:rsidR="00585E3B" w:rsidRPr="007D4280" w:rsidRDefault="00152032" w:rsidP="00585E3B">
      <w:pPr>
        <w:spacing w:after="120" w:line="300" w:lineRule="auto"/>
        <w:rPr>
          <w:rFonts w:ascii="Arial" w:eastAsia="Arial" w:hAnsi="Arial" w:cs="Arial"/>
          <w:b/>
          <w:bCs/>
          <w:sz w:val="18"/>
        </w:rPr>
      </w:pPr>
      <w:bookmarkStart w:id="29" w:name="_Hlk223114252"/>
      <w:r w:rsidRPr="007D4280">
        <w:rPr>
          <w:rFonts w:ascii="Arial" w:hAnsi="Arial"/>
          <w:b/>
          <w:sz w:val="18"/>
        </w:rPr>
        <w:t>Réorganisations</w:t>
      </w:r>
    </w:p>
    <w:p w14:paraId="049D13FF" w14:textId="77777777" w:rsidR="00D411A7" w:rsidRPr="007D4280" w:rsidRDefault="00DE6EAC" w:rsidP="00D411A7">
      <w:pPr>
        <w:spacing w:after="120" w:line="300" w:lineRule="auto"/>
        <w:rPr>
          <w:rFonts w:ascii="Arial" w:hAnsi="Arial" w:cs="Arial"/>
          <w:sz w:val="18"/>
          <w:szCs w:val="18"/>
        </w:rPr>
      </w:pPr>
      <w:r w:rsidRPr="007D4280">
        <w:rPr>
          <w:rFonts w:ascii="Arial" w:hAnsi="Arial"/>
          <w:sz w:val="18"/>
        </w:rPr>
        <w:t>La société a mis en œuvre plusieurs mesures de réduction des dépenses de vente et d’administration en 2024 et en 2025. Pour plus d’informations sur ces réductions des dépenses de vente et d’administration, consultez la rubrique « Évolution générale de l’activité – aperçu ».</w:t>
      </w:r>
    </w:p>
    <w:p w14:paraId="5B8D95A2" w14:textId="1914E280" w:rsidR="008F7DE4" w:rsidRPr="007D4280" w:rsidRDefault="008F7DE4" w:rsidP="001B3F05">
      <w:pPr>
        <w:spacing w:after="120" w:line="300" w:lineRule="auto"/>
        <w:rPr>
          <w:rFonts w:ascii="Arial" w:hAnsi="Arial" w:cs="Arial"/>
          <w:sz w:val="18"/>
          <w:szCs w:val="18"/>
        </w:rPr>
      </w:pPr>
      <w:r w:rsidRPr="007D4280">
        <w:rPr>
          <w:rFonts w:ascii="Arial" w:hAnsi="Arial"/>
          <w:sz w:val="18"/>
        </w:rPr>
        <w:t>Le 1</w:t>
      </w:r>
      <w:r w:rsidRPr="007D4280">
        <w:rPr>
          <w:rFonts w:ascii="Arial" w:hAnsi="Arial"/>
          <w:sz w:val="18"/>
          <w:vertAlign w:val="superscript"/>
        </w:rPr>
        <w:t>er</w:t>
      </w:r>
      <w:r w:rsidRPr="007D4280">
        <w:rPr>
          <w:rFonts w:ascii="Arial" w:hAnsi="Arial"/>
          <w:sz w:val="18"/>
        </w:rPr>
        <w:t> octobre 2025, les Aliments Maple Leaf a finalisé la Scission, ce qui a donné lieu à la création de Canada Packers en tant que société cotée en bourse indépendante. Pour de plus amples renseignements sur la Scission, consultez la rubrique « Évolution générale de l’activité – aperçu ».</w:t>
      </w:r>
    </w:p>
    <w:p w14:paraId="2A41FA07" w14:textId="74D4114E" w:rsidR="00016958" w:rsidRPr="007D4280" w:rsidRDefault="00152032" w:rsidP="00BD7E95">
      <w:pPr>
        <w:spacing w:after="120" w:line="300" w:lineRule="auto"/>
      </w:pPr>
      <w:bookmarkStart w:id="30" w:name="_Hlk95940810"/>
      <w:bookmarkEnd w:id="29"/>
      <w:r w:rsidRPr="007D4280">
        <w:rPr>
          <w:rFonts w:ascii="Arial" w:hAnsi="Arial"/>
          <w:b/>
          <w:sz w:val="18"/>
        </w:rPr>
        <w:t>Monnaie</w:t>
      </w:r>
    </w:p>
    <w:p w14:paraId="372FAAAA" w14:textId="16C53CD9" w:rsidR="00E22DEC" w:rsidRPr="007D4280" w:rsidRDefault="006D462A" w:rsidP="006D462A">
      <w:pPr>
        <w:spacing w:after="120" w:line="300" w:lineRule="auto"/>
        <w:rPr>
          <w:rFonts w:ascii="Arial" w:eastAsia="Arial" w:hAnsi="Arial" w:cs="Arial"/>
          <w:sz w:val="18"/>
        </w:rPr>
      </w:pPr>
      <w:bookmarkStart w:id="31" w:name="_Hlk223115963"/>
      <w:r w:rsidRPr="007D4280">
        <w:rPr>
          <w:rFonts w:ascii="Arial" w:hAnsi="Arial"/>
          <w:sz w:val="18"/>
        </w:rPr>
        <w:t xml:space="preserve">Une partie des produits et des charges de la Société sont libellés en monnaies étrangères (principalement le dollar américain) ou sont directement liés à celles-ci. Lorsque le dollar canadien s’apprécie de façon rapide et importante vis-à-vis </w:t>
      </w:r>
      <w:r w:rsidR="004F6A2A">
        <w:rPr>
          <w:rFonts w:ascii="Arial" w:hAnsi="Arial"/>
          <w:sz w:val="18"/>
        </w:rPr>
        <w:t>du</w:t>
      </w:r>
      <w:r w:rsidRPr="007D4280">
        <w:rPr>
          <w:rFonts w:ascii="Arial" w:hAnsi="Arial"/>
          <w:sz w:val="18"/>
        </w:rPr>
        <w:t xml:space="preserve"> dollar américain, les revenus qui y sont liés diminuent aussitôt, et la capacité de la Société de modifier ses prix ou d’établir des stratégies de couverture naturelles peut accuser du retard par rapport à la variation immédiate des taux de change. Les variations soudaines des taux de change peuvent avoir un effet immédiat important sur le résultat de la Société. Compte tenu de la diversité des activités des Aliments Maple Leaf, les fluctuations normales des autres monnaies n’ont habituellement pas une incidence importante sur la rentabilité à court terme de la Société en raison des stratégies de couverture naturelles et de la compensation des risques de change (p. ex. lorsque les produits et les charges sont tous deux liés à d’autres monnaies) ou en raison de la capacité à court terme de la Société de modifier les prix de ses produits afin de neutraliser les variations de change défavorables. Toutefois, puisque la Société se livre à une concurrence sur les marchés internationaux et rivalise avec des entreprises américaines sur le marché intérieur canadien, les fluctuations importantes du taux de change entre le dollar canadien et le dollar américain peuvent avoir – et ont déjà eu par le passé – une incidence considérable sur la compétitivité relative de la Société au pays et à l’étranger de même que sur sa situation financière et ses résultats d’exploitation. </w:t>
      </w:r>
    </w:p>
    <w:p w14:paraId="19D81093" w14:textId="77777777" w:rsidR="00E22DEC" w:rsidRPr="007D4280" w:rsidRDefault="00152032" w:rsidP="00E22DEC">
      <w:pPr>
        <w:spacing w:after="120" w:line="300" w:lineRule="auto"/>
        <w:rPr>
          <w:rFonts w:ascii="Arial" w:eastAsia="Arial" w:hAnsi="Arial" w:cs="Arial"/>
          <w:sz w:val="18"/>
        </w:rPr>
      </w:pPr>
      <w:r w:rsidRPr="007D4280">
        <w:rPr>
          <w:rFonts w:ascii="Arial" w:hAnsi="Arial"/>
          <w:sz w:val="18"/>
        </w:rPr>
        <w:t>La Société gère les fluctuations monétaires en adaptant ses prix, en réduisant ses coûts ou en investissant dans les produits à valeur ajoutée. De plus, elle utilise des instruments financiers dérivés et non dérivés pour atténuer son exposition aux fluctuations des taux de change.</w:t>
      </w:r>
      <w:bookmarkEnd w:id="30"/>
    </w:p>
    <w:p w14:paraId="11008A5B" w14:textId="77777777" w:rsidR="00E22DEC" w:rsidRPr="007D4280" w:rsidRDefault="00152032" w:rsidP="00E22DEC">
      <w:pPr>
        <w:pStyle w:val="AIF-Level2"/>
        <w:outlineLvl w:val="1"/>
      </w:pPr>
      <w:bookmarkStart w:id="32" w:name="_Toc226985975"/>
      <w:bookmarkEnd w:id="31"/>
      <w:r w:rsidRPr="007D4280">
        <w:t>Prix</w:t>
      </w:r>
      <w:bookmarkEnd w:id="32"/>
      <w:r w:rsidRPr="007D4280">
        <w:t xml:space="preserve"> </w:t>
      </w:r>
    </w:p>
    <w:p w14:paraId="64D1070A" w14:textId="4079263C" w:rsidR="00A1649C" w:rsidRPr="007D4280" w:rsidRDefault="00152032" w:rsidP="00A1649C">
      <w:pPr>
        <w:spacing w:after="120" w:line="300" w:lineRule="auto"/>
        <w:rPr>
          <w:rFonts w:ascii="Arial" w:eastAsia="Arial" w:hAnsi="Arial" w:cs="Arial"/>
          <w:sz w:val="18"/>
        </w:rPr>
      </w:pPr>
      <w:bookmarkStart w:id="33" w:name="_Hlk63874650"/>
      <w:r w:rsidRPr="007D4280">
        <w:rPr>
          <w:rFonts w:ascii="Arial" w:hAnsi="Arial"/>
          <w:sz w:val="18"/>
        </w:rPr>
        <w:t xml:space="preserve">La rentabilité de la Société dépend en grande partie de sa capacité de fixer des prix et des offres promotionnelles qui, d’une part, attirent les consommateurs et, d’autre part, compensent les frais de développement et autres frais associés à ses produits. Les produits dont le prix est trop élevé par rapport à la concurrence perdent leur part de marché, et ceux dont le prix est trop faible généreront un taux de rendement insuffisant. Par conséquent, toute incapacité de fixer des prix appropriés pourrait avoir un effet négatif important sur la situation financière et les résultats d’exploitation de la Société. Pour en savoir plus, consultez la rubrique Facteurs de risque du rapport de gestion de 2025 de la Société, accessible sur SEDAR+ au </w:t>
      </w:r>
      <w:hyperlink r:id="rId19" w:history="1">
        <w:r w:rsidRPr="007D4280">
          <w:rPr>
            <w:rStyle w:val="Hyperlink"/>
            <w:rFonts w:ascii="Arial" w:hAnsi="Arial"/>
            <w:sz w:val="18"/>
          </w:rPr>
          <w:t>www.sedarplus.ca</w:t>
        </w:r>
      </w:hyperlink>
      <w:r w:rsidRPr="007D4280">
        <w:rPr>
          <w:rFonts w:ascii="Arial" w:hAnsi="Arial"/>
          <w:sz w:val="18"/>
        </w:rPr>
        <w:t>.</w:t>
      </w:r>
    </w:p>
    <w:p w14:paraId="14BBCF4D" w14:textId="77777777" w:rsidR="00E22DEC" w:rsidRPr="007D4280" w:rsidRDefault="00152032" w:rsidP="00E22DEC">
      <w:pPr>
        <w:pStyle w:val="AIF-Level2"/>
        <w:outlineLvl w:val="1"/>
      </w:pPr>
      <w:bookmarkStart w:id="34" w:name="_Toc226985976"/>
      <w:r w:rsidRPr="007D4280">
        <w:t>Dépendance envers les clients clés</w:t>
      </w:r>
      <w:bookmarkEnd w:id="34"/>
      <w:r w:rsidRPr="007D4280">
        <w:t xml:space="preserve"> </w:t>
      </w:r>
    </w:p>
    <w:p w14:paraId="07F0EACE" w14:textId="75FF3B6D" w:rsidR="00016958" w:rsidRPr="007D4280" w:rsidRDefault="00152032" w:rsidP="00703832">
      <w:pPr>
        <w:pStyle w:val="BodyText"/>
      </w:pPr>
      <w:bookmarkStart w:id="35" w:name="_Hlk157367394"/>
      <w:bookmarkStart w:id="36" w:name="_Hlk186787672"/>
      <w:bookmarkEnd w:id="28"/>
      <w:bookmarkEnd w:id="33"/>
      <w:r w:rsidRPr="007D4280">
        <w:t>Pour l’exercice clos le 31 décembre 2025, la Société a déclaré des ventes à trois clients représentant respectivement 15,1 %, 14,6 % et 11,5 % (contre 14,4 %, 15,4 % et 11,2 % en 2024 – retraités pour exclure les activités abandonnées) de ses ventes totales. Aucun autre client n’a compté pour plus de 10,0 % du total des ventes de la Société.</w:t>
      </w:r>
    </w:p>
    <w:p w14:paraId="4229CFA2" w14:textId="2ACDE695" w:rsidR="00B80DCC" w:rsidRPr="007D4280" w:rsidRDefault="00152032" w:rsidP="00B80DCC">
      <w:pPr>
        <w:pStyle w:val="AIF-Level2"/>
        <w:outlineLvl w:val="1"/>
      </w:pPr>
      <w:bookmarkStart w:id="37" w:name="_Toc226985977"/>
      <w:r w:rsidRPr="007D4280">
        <w:t>Dépendance économique</w:t>
      </w:r>
      <w:bookmarkEnd w:id="37"/>
    </w:p>
    <w:p w14:paraId="63A424A7" w14:textId="404BD889" w:rsidR="00E22DEC" w:rsidRPr="007D4280" w:rsidRDefault="001518AC" w:rsidP="00327097">
      <w:pPr>
        <w:spacing w:after="120" w:line="300" w:lineRule="auto"/>
        <w:rPr>
          <w:rFonts w:ascii="Arial" w:eastAsia="Arial" w:hAnsi="Arial" w:cs="Arial"/>
          <w:sz w:val="18"/>
        </w:rPr>
      </w:pPr>
      <w:r w:rsidRPr="007D4280">
        <w:rPr>
          <w:rFonts w:ascii="Arial" w:hAnsi="Arial"/>
          <w:sz w:val="18"/>
        </w:rPr>
        <w:t xml:space="preserve">La Société ne dépend pas de manière significative d’un contrat particulier. </w:t>
      </w:r>
    </w:p>
    <w:p w14:paraId="242621A0" w14:textId="77777777" w:rsidR="00695197" w:rsidRPr="007D4280" w:rsidRDefault="00152032" w:rsidP="00E72EC2">
      <w:pPr>
        <w:pStyle w:val="AIF-Level1"/>
        <w:outlineLvl w:val="0"/>
      </w:pPr>
      <w:bookmarkStart w:id="38" w:name="_Toc226985978"/>
      <w:r w:rsidRPr="007D4280">
        <w:t>DURABILITÉ ENVIRONNEMENTALE</w:t>
      </w:r>
      <w:bookmarkEnd w:id="38"/>
    </w:p>
    <w:p w14:paraId="07925B44" w14:textId="5C1EA577" w:rsidR="00AA5117" w:rsidRPr="007D4280" w:rsidRDefault="00152032" w:rsidP="00BD7E95">
      <w:pPr>
        <w:pStyle w:val="BodyText"/>
      </w:pPr>
      <w:bookmarkStart w:id="39" w:name="_Hlk158831791"/>
      <w:bookmarkEnd w:id="35"/>
      <w:bookmarkEnd w:id="36"/>
      <w:r w:rsidRPr="007D4280">
        <w:t>Les Aliments Maple Leaf s’est engagée à appliquer des normes de responsabilité environnementale élevées et à entretenir des relations positives dans les collectivités où elle exerce ses activités. La Société exerce ses activités dans le cadre d’une politique intitulée « Notre engagement à l’égard de la durabilité environnementale » (l</w:t>
      </w:r>
      <w:proofErr w:type="gramStart"/>
      <w:r w:rsidRPr="007D4280">
        <w:t>’«</w:t>
      </w:r>
      <w:proofErr w:type="gramEnd"/>
      <w:r w:rsidRPr="007D4280">
        <w:t xml:space="preserve"> engagement à l’égard de la durabilité environnementale »), qui est approuvée par le comité de sécurité et durabilité (le « CSD ») du conseil d’administration de la Société (le « conseil d’administration »). Cette politique peut être consultée sur le site Web de la Société.  </w:t>
      </w:r>
    </w:p>
    <w:p w14:paraId="14C3F880" w14:textId="023F6E6C" w:rsidR="00AA5117" w:rsidRPr="007D4280" w:rsidRDefault="00152032" w:rsidP="00BD7E95">
      <w:pPr>
        <w:pStyle w:val="BodyText"/>
      </w:pPr>
      <w:r w:rsidRPr="007D4280">
        <w:t xml:space="preserve">Le programme environnemental de la Société est surveillé régulièrement par le CSD, notamment pour ce qui est de la conformité aux exigences réglementaires et de l’utilisation de spécialistes internes de l’environnement et d’experts de l’environnement indépendants et externes. La Société continue d’investir dans ses infrastructures environnementales concernant la consommation d’eau, les déchets et les émissions atmosphériques afin de continuer à respecter ou à dépasser les normes environnementales tout en assurant la mise en œuvre de procédures qui réduisent l’incidence de ses activités sur l’environnement. </w:t>
      </w:r>
    </w:p>
    <w:p w14:paraId="3D211433" w14:textId="00FA5B45" w:rsidR="00AA5117" w:rsidRPr="007D4280" w:rsidRDefault="00152032" w:rsidP="00BD7E95">
      <w:pPr>
        <w:pStyle w:val="BodyText"/>
      </w:pPr>
      <w:r w:rsidRPr="007D4280">
        <w:t xml:space="preserve">La Société ne s’attend pas à ce que les dépenses liées aux exigences environnementales actuelles aient un effet important sur sa situation financière ou son résultat. Cependant, il est possible que des événements causent des dépenses environnementales importantes et aient un effet négatif important sur la situation financière et les résultats d’exploitation de la Société, par exemple l’ajout de règlements environnementaux ou un incident à l’une des installations de la Société. En tant que grande entreprise alimentaire, la Société croit que certaines questions sanitaires, environnementales et sociales doivent être examinées dans une perspective plus large que la rentabilité à court terme et doit orienter ses activités afin qu’elle puisse se bâtir un avenir durable. De plus en plus, la Société doit aller au-delà des exigences de conformité pour réduire considérablement son empreinte écologique afin de lutter contre les problèmes environnementaux croissants, d’améliorer son efficacité opérationnelle et de réduire ses coûts. </w:t>
      </w:r>
    </w:p>
    <w:p w14:paraId="3910D03B" w14:textId="55A87119" w:rsidR="00AA5117" w:rsidRPr="007D4280" w:rsidRDefault="00152032" w:rsidP="00BD7E95">
      <w:pPr>
        <w:pStyle w:val="BodyText"/>
      </w:pPr>
      <w:r w:rsidRPr="007D4280">
        <w:t>Les Aliments Maple Leaf fait progresser ses travaux sur plusieurs fronts pour accélérer les réductions de ses principaux indicateurs de performance environnementale sur les émissions de gaz à effet de serre (GES) (champs d’application 1, 2 et 3) ainsi que sur sa production de déchets et sa consommation d’eau et d’énergie dans ses activités de fabrication. Ces mesures comprennent le renforcement des initiatives en matière d’agriculture régénérative et la mise en œuvre de plans d’action concrets à travers l’ensemble de son réseau.</w:t>
      </w:r>
    </w:p>
    <w:p w14:paraId="0E811474" w14:textId="6C3E7C43" w:rsidR="00AA5117" w:rsidRPr="007D4280" w:rsidRDefault="00152032" w:rsidP="00BD7E95">
      <w:pPr>
        <w:pStyle w:val="Heading4"/>
        <w:spacing w:after="120"/>
      </w:pPr>
      <w:r w:rsidRPr="007D4280">
        <w:t>Objectifs fondés sur la science</w:t>
      </w:r>
      <w:r w:rsidRPr="007D4280">
        <w:rPr>
          <w:i w:val="0"/>
          <w:sz w:val="18"/>
        </w:rPr>
        <w:t xml:space="preserve">  </w:t>
      </w:r>
    </w:p>
    <w:p w14:paraId="08FA6CF4" w14:textId="3A07B6EE" w:rsidR="00AA5117" w:rsidRPr="007D4280" w:rsidRDefault="00152032" w:rsidP="00BD7E95">
      <w:pPr>
        <w:pStyle w:val="BodyText"/>
      </w:pPr>
      <w:r w:rsidRPr="007D4280">
        <w:t xml:space="preserve">Les objectifs fondés sur la science dessinent la voie à suivre en indiquant aux entreprises dans quelle mesure et à quel rythme elles doivent réduire leurs émissions de GES pour satisfaire aux exigences de l’Accord de Paris sur le climat. L’initiative Science-Based </w:t>
      </w:r>
      <w:proofErr w:type="spellStart"/>
      <w:r w:rsidRPr="007D4280">
        <w:t>Targets</w:t>
      </w:r>
      <w:proofErr w:type="spellEnd"/>
      <w:r w:rsidRPr="007D4280">
        <w:t xml:space="preserve"> (</w:t>
      </w:r>
      <w:proofErr w:type="spellStart"/>
      <w:r w:rsidRPr="007D4280">
        <w:t>SBTi</w:t>
      </w:r>
      <w:proofErr w:type="spellEnd"/>
      <w:r w:rsidRPr="007D4280">
        <w:t>) a déjà approuvé les objectifs fondés sur la science de réduction des GES des Aliments Maple Leaf.</w:t>
      </w:r>
    </w:p>
    <w:p w14:paraId="4C6747B8" w14:textId="760FF54E" w:rsidR="00AA5117" w:rsidRPr="007D4280" w:rsidRDefault="00152032" w:rsidP="00BD7E95">
      <w:pPr>
        <w:pStyle w:val="BodyText"/>
      </w:pPr>
      <w:r w:rsidRPr="007D4280">
        <w:t xml:space="preserve">La </w:t>
      </w:r>
      <w:proofErr w:type="spellStart"/>
      <w:r w:rsidRPr="007D4280">
        <w:t>SBTi</w:t>
      </w:r>
      <w:proofErr w:type="spellEnd"/>
      <w:r w:rsidRPr="007D4280">
        <w:t xml:space="preserve"> a vérifié le bilan carbone de la Société, qui avait été préparé conformément au Greenhouse Gas Protocol – un protocole internationalement accepté, élaboré par le World </w:t>
      </w:r>
      <w:proofErr w:type="spellStart"/>
      <w:r w:rsidRPr="007D4280">
        <w:t>Resources</w:t>
      </w:r>
      <w:proofErr w:type="spellEnd"/>
      <w:r w:rsidRPr="007D4280">
        <w:t xml:space="preserve"> Institute et le World Business Council for </w:t>
      </w:r>
      <w:proofErr w:type="spellStart"/>
      <w:r w:rsidRPr="007D4280">
        <w:t>Sustainable</w:t>
      </w:r>
      <w:proofErr w:type="spellEnd"/>
      <w:r w:rsidRPr="007D4280">
        <w:t xml:space="preserve"> </w:t>
      </w:r>
      <w:proofErr w:type="spellStart"/>
      <w:r w:rsidRPr="007D4280">
        <w:t>Development</w:t>
      </w:r>
      <w:proofErr w:type="spellEnd"/>
      <w:r w:rsidRPr="007D4280">
        <w:t>. Les Aliments Maple Leaf s’est engagée à réduire ses émissions absolues de GES des champs d’application 1 et 2 de 30 % et ses émissions de GES du champ d’application 3 de 30 % par 1 000 kg de production d’ici 2030 (par rapport à l’année de référence 2018).</w:t>
      </w:r>
    </w:p>
    <w:p w14:paraId="470915CF" w14:textId="0A674E21" w:rsidR="001B3F05" w:rsidRPr="007D4280" w:rsidRDefault="00152032" w:rsidP="00AA5117">
      <w:pPr>
        <w:spacing w:after="240" w:line="300" w:lineRule="auto"/>
        <w:rPr>
          <w:rFonts w:ascii="Arial" w:eastAsia="Yu Mincho" w:hAnsi="Arial"/>
          <w:kern w:val="0"/>
          <w:sz w:val="18"/>
        </w:rPr>
      </w:pPr>
      <w:r w:rsidRPr="007D4280">
        <w:rPr>
          <w:rFonts w:ascii="Arial" w:hAnsi="Arial"/>
          <w:sz w:val="18"/>
        </w:rPr>
        <w:t>La Société gère ses objectifs de durabilité en accordant la priorité à l’évitement et à la réduction de ses émissions de GES et en achetant des crédits liés à des réductions d’émissions vérifiées découlant de projets environnementaux à incidence élevée pour compenser les émissions actuellement inévitables. Par cette méthode, elle neutralise ses émissions des champs d’application 1 et 2, ainsi qu’une partie de ses émissions de GES du champ d’application 3.</w:t>
      </w:r>
    </w:p>
    <w:p w14:paraId="67147FFD" w14:textId="21C0E71F" w:rsidR="00695197" w:rsidRPr="007D4280" w:rsidRDefault="00152032" w:rsidP="00E72EC2">
      <w:pPr>
        <w:pStyle w:val="AIF-Level1"/>
        <w:outlineLvl w:val="0"/>
      </w:pPr>
      <w:bookmarkStart w:id="40" w:name="_Toc226985979"/>
      <w:bookmarkEnd w:id="39"/>
      <w:r w:rsidRPr="007D4280">
        <w:t>FACTEURS DE RISQUE</w:t>
      </w:r>
      <w:bookmarkEnd w:id="40"/>
    </w:p>
    <w:p w14:paraId="187EF690" w14:textId="3029EFE9" w:rsidR="00695197" w:rsidRPr="007D4280" w:rsidRDefault="00152032" w:rsidP="00E72EC2">
      <w:pPr>
        <w:spacing w:after="120" w:line="300" w:lineRule="auto"/>
        <w:rPr>
          <w:rFonts w:ascii="Arial" w:eastAsia="Arial" w:hAnsi="Arial" w:cs="Arial"/>
          <w:sz w:val="18"/>
        </w:rPr>
      </w:pPr>
      <w:r w:rsidRPr="007D4280">
        <w:rPr>
          <w:rFonts w:ascii="Arial" w:hAnsi="Arial"/>
          <w:sz w:val="18"/>
        </w:rPr>
        <w:t xml:space="preserve">Dans l’exercice de ses activités, la Société fait face à de nombreux risques. De plus, dans le cours normal des affaires, la Société est exposée à des risques financiers et liés aux marchés qui peuvent influer sur ses résultats d’exploitation. </w:t>
      </w:r>
    </w:p>
    <w:p w14:paraId="28FEB4CC" w14:textId="5EDDE071" w:rsidR="000A066D" w:rsidRPr="007D4280" w:rsidRDefault="00152032" w:rsidP="00E72EC2">
      <w:pPr>
        <w:spacing w:after="120" w:line="300" w:lineRule="auto"/>
        <w:rPr>
          <w:rFonts w:ascii="Arial" w:eastAsia="Arial" w:hAnsi="Arial" w:cs="Arial"/>
          <w:sz w:val="18"/>
        </w:rPr>
      </w:pPr>
      <w:r w:rsidRPr="007D4280">
        <w:rPr>
          <w:rFonts w:ascii="Arial" w:hAnsi="Arial"/>
          <w:sz w:val="18"/>
        </w:rPr>
        <w:t>Ces facteurs de risque, auxquels s’ajoutent d’autres risques et incertitudes inconnus de la Société ou qu’elle juge négligeables pour le moment, pourraient avoir des conséquences importantes et défavorables sur le rendement de la Société, ses résultats d’exploitation et sa capacité de verser des dividendes ou de rembourser du capital à ses actionnaires. Ces risques pourraient faire en sorte que les résultats ou les événements réels diffèrent considérablement des événements, des perspectives financières, des cibles ou des objectifs décrits dans les énoncés prospectifs. Bon nombre de risques sont indépendants de la volonté de la Société et</w:t>
      </w:r>
      <w:r w:rsidR="004F6A2A">
        <w:rPr>
          <w:rFonts w:ascii="Arial" w:hAnsi="Arial"/>
          <w:sz w:val="18"/>
        </w:rPr>
        <w:t>,</w:t>
      </w:r>
      <w:r w:rsidRPr="007D4280">
        <w:rPr>
          <w:rFonts w:ascii="Arial" w:hAnsi="Arial"/>
          <w:sz w:val="18"/>
        </w:rPr>
        <w:t xml:space="preserve"> malgré les efforts de cette dernière pour gérer ou atténuer son exposition, rien ne garantit que les mesures qu’elle adopte porteront leurs fruits. </w:t>
      </w:r>
    </w:p>
    <w:p w14:paraId="59C5AA22" w14:textId="1867E432" w:rsidR="00695197" w:rsidRPr="007D4280" w:rsidRDefault="00152032" w:rsidP="00E72EC2">
      <w:pPr>
        <w:spacing w:after="120" w:line="300" w:lineRule="auto"/>
        <w:rPr>
          <w:rFonts w:ascii="Arial" w:eastAsia="Arial" w:hAnsi="Arial" w:cs="Arial"/>
          <w:sz w:val="18"/>
        </w:rPr>
      </w:pPr>
      <w:r w:rsidRPr="007D4280">
        <w:rPr>
          <w:rFonts w:ascii="Arial" w:hAnsi="Arial"/>
          <w:sz w:val="18"/>
        </w:rPr>
        <w:t xml:space="preserve">Les facteurs de risque de la Société sont présentés dans le rapport de gestion annuel de 2025 de la Société, sous les rubriques « Instruments financiers et gestion des risques » et « Facteurs de risque », et sont intégrés par référence dans le présent document. Le rapport de gestion annuel de 2025 de la Société est disponible sur le site Web de la Société et sur SEDAR+ au </w:t>
      </w:r>
      <w:hyperlink r:id="rId20" w:history="1">
        <w:r w:rsidRPr="007D4280">
          <w:rPr>
            <w:rStyle w:val="Hyperlink"/>
            <w:rFonts w:ascii="Arial" w:hAnsi="Arial"/>
            <w:sz w:val="18"/>
          </w:rPr>
          <w:t>www.sedarplus.ca</w:t>
        </w:r>
      </w:hyperlink>
      <w:r w:rsidRPr="007D4280">
        <w:rPr>
          <w:rFonts w:ascii="Arial" w:hAnsi="Arial"/>
          <w:sz w:val="18"/>
        </w:rPr>
        <w:t xml:space="preserve">. Le lecteur devrait examiner attentivement les facteurs de risque énoncés aux présentes ainsi que l’ensemble des renseignements contenus dans le présent document et les autres documents rendus publics par la Société avant de prendre une décision d’investissement. </w:t>
      </w:r>
    </w:p>
    <w:p w14:paraId="0F1CC08F" w14:textId="77777777" w:rsidR="00695197" w:rsidRPr="007D4280" w:rsidRDefault="00152032" w:rsidP="00E72EC2">
      <w:pPr>
        <w:pStyle w:val="AIF-Level1"/>
        <w:outlineLvl w:val="0"/>
      </w:pPr>
      <w:bookmarkStart w:id="41" w:name="_Toc226985980"/>
      <w:bookmarkStart w:id="42" w:name="_Hlk186789390"/>
      <w:r w:rsidRPr="007D4280">
        <w:t>DESCRIPTION DE LA STRUCTURE DU CAPITAL</w:t>
      </w:r>
      <w:bookmarkEnd w:id="41"/>
    </w:p>
    <w:p w14:paraId="5D13D822" w14:textId="17199440" w:rsidR="00695197" w:rsidRPr="007D4280" w:rsidRDefault="00152032" w:rsidP="00E72EC2">
      <w:pPr>
        <w:spacing w:after="120" w:line="300" w:lineRule="auto"/>
        <w:rPr>
          <w:rFonts w:ascii="Arial" w:eastAsia="Arial" w:hAnsi="Arial" w:cs="Arial"/>
          <w:sz w:val="18"/>
        </w:rPr>
      </w:pPr>
      <w:r w:rsidRPr="007D4280">
        <w:rPr>
          <w:rFonts w:ascii="Arial" w:hAnsi="Arial"/>
          <w:sz w:val="18"/>
        </w:rPr>
        <w:t>Le capital social autorisé de la Société consiste en un nombre illimité d’actions ordinaires, en un nombre illimité d’actions ordinaires sans droit de vote (les « titres sans droit de vote ») et en un nombre illimité d’actions privilégiées pouvant être émises en séries.</w:t>
      </w:r>
    </w:p>
    <w:p w14:paraId="5D57744E" w14:textId="68CFB6F3" w:rsidR="00695197" w:rsidRPr="007D4280" w:rsidRDefault="00152032" w:rsidP="00E72EC2">
      <w:pPr>
        <w:spacing w:after="120" w:line="300" w:lineRule="auto"/>
        <w:rPr>
          <w:rFonts w:ascii="Arial" w:eastAsia="Arial" w:hAnsi="Arial" w:cs="Arial"/>
          <w:sz w:val="18"/>
        </w:rPr>
      </w:pPr>
      <w:r w:rsidRPr="007D4280">
        <w:rPr>
          <w:rFonts w:ascii="Arial" w:hAnsi="Arial"/>
          <w:sz w:val="18"/>
          <w:shd w:val="clear" w:color="auto" w:fill="FFFFFF" w:themeFill="background1"/>
        </w:rPr>
        <w:t xml:space="preserve">Au 31 décembre 2025, le capital émis de la Société consistait en 124 618 727 actions ordinaires. Il n’y a pas de titres sans droit de vote ni d’actions privilégiées émises et en circulation. Les principales caractéristiques de chacune de ces catégories d’actions sont fournies ci-dessous. Tous les détails concernant les droits, privilèges et restrictions liés aux actions ordinaires, aux titres sans droit de vote et aux actions privilégiées de la Société figurent dans les statuts de la Société, disponibles sur SEDAR+ au </w:t>
      </w:r>
      <w:hyperlink r:id="rId21" w:history="1">
        <w:r w:rsidRPr="007D4280">
          <w:rPr>
            <w:rStyle w:val="Hyperlink"/>
            <w:rFonts w:ascii="Arial" w:hAnsi="Arial"/>
            <w:sz w:val="18"/>
          </w:rPr>
          <w:t>www.sedarplus.ca</w:t>
        </w:r>
      </w:hyperlink>
      <w:r w:rsidRPr="007D4280">
        <w:rPr>
          <w:rFonts w:ascii="Arial" w:hAnsi="Arial"/>
          <w:sz w:val="18"/>
        </w:rPr>
        <w:t>.</w:t>
      </w:r>
    </w:p>
    <w:p w14:paraId="7F15BA03" w14:textId="77777777" w:rsidR="00695197" w:rsidRPr="007D4280" w:rsidRDefault="00152032" w:rsidP="00E72EC2">
      <w:pPr>
        <w:pStyle w:val="AIF-Level2"/>
        <w:outlineLvl w:val="1"/>
      </w:pPr>
      <w:bookmarkStart w:id="43" w:name="_Toc226985981"/>
      <w:r w:rsidRPr="007D4280">
        <w:t>Actions ordinaires</w:t>
      </w:r>
      <w:bookmarkEnd w:id="43"/>
    </w:p>
    <w:p w14:paraId="7F8DF195"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Les droits, privilèges, restrictions et conditions rattachés aux actions ordinaires sont les suivants :</w:t>
      </w:r>
    </w:p>
    <w:p w14:paraId="0379E1EF" w14:textId="37BD30D3" w:rsidR="00695197" w:rsidRPr="007D4280" w:rsidRDefault="00152032" w:rsidP="001B3F05">
      <w:pPr>
        <w:numPr>
          <w:ilvl w:val="0"/>
          <w:numId w:val="2"/>
        </w:numPr>
        <w:spacing w:after="120" w:line="300" w:lineRule="auto"/>
        <w:rPr>
          <w:sz w:val="18"/>
        </w:rPr>
      </w:pPr>
      <w:r w:rsidRPr="007D4280">
        <w:rPr>
          <w:rFonts w:ascii="Arial" w:hAnsi="Arial"/>
          <w:sz w:val="18"/>
        </w:rPr>
        <w:t>Droit de vote : Les porteurs d’actions ordinaires ont droit à un vote par action lors des assemblées des actionnaires.</w:t>
      </w:r>
    </w:p>
    <w:p w14:paraId="75DD4A97" w14:textId="479BA2A4" w:rsidR="00695197" w:rsidRPr="007D4280" w:rsidRDefault="00152032" w:rsidP="001B3F05">
      <w:pPr>
        <w:numPr>
          <w:ilvl w:val="0"/>
          <w:numId w:val="2"/>
        </w:numPr>
        <w:spacing w:after="120" w:line="300" w:lineRule="auto"/>
        <w:rPr>
          <w:sz w:val="18"/>
        </w:rPr>
      </w:pPr>
      <w:r w:rsidRPr="007D4280">
        <w:rPr>
          <w:rFonts w:ascii="Arial" w:hAnsi="Arial"/>
          <w:sz w:val="18"/>
        </w:rPr>
        <w:t>Dividendes : Les porteurs d’actions ordinaires ont droit à des dividendes à la discrétion du conseil d’administration (sous réserve de toute préférence accordée aux porteurs d’actions de rang supérieur à celui des actions ordinaires).</w:t>
      </w:r>
    </w:p>
    <w:p w14:paraId="4583689C" w14:textId="382CF95E" w:rsidR="00695197" w:rsidRPr="007D4280" w:rsidRDefault="00152032" w:rsidP="001B3F05">
      <w:pPr>
        <w:numPr>
          <w:ilvl w:val="0"/>
          <w:numId w:val="2"/>
        </w:numPr>
        <w:spacing w:after="120" w:line="300" w:lineRule="auto"/>
        <w:rPr>
          <w:sz w:val="18"/>
        </w:rPr>
      </w:pPr>
      <w:r w:rsidRPr="007D4280">
        <w:rPr>
          <w:rFonts w:ascii="Arial" w:hAnsi="Arial"/>
          <w:sz w:val="18"/>
        </w:rPr>
        <w:t>Liquidation ou dissolution : En cas de dissolution ou de liquidation de la Société, les porteurs d’actions ordinaires ont droit de recevoir une quote-part de l’actif de la Société après l’acquittement de toutes les dettes et obligations de la Société (sous réserve de toute préférence accordée aux porteurs d’actions de rang supérieur à celui des actions ordinaires).</w:t>
      </w:r>
    </w:p>
    <w:p w14:paraId="5D50F5EC" w14:textId="7006E1D2" w:rsidR="00695197" w:rsidRPr="007D4280" w:rsidRDefault="00152032" w:rsidP="001B3F05">
      <w:pPr>
        <w:numPr>
          <w:ilvl w:val="0"/>
          <w:numId w:val="2"/>
        </w:numPr>
        <w:spacing w:after="120" w:line="300" w:lineRule="auto"/>
        <w:rPr>
          <w:sz w:val="18"/>
        </w:rPr>
      </w:pPr>
      <w:r w:rsidRPr="007D4280">
        <w:rPr>
          <w:rFonts w:ascii="Arial" w:hAnsi="Arial"/>
          <w:sz w:val="18"/>
        </w:rPr>
        <w:t>Autre : Aucun droit préférentiel de souscription, droit de conversion ou droit de rachat n’est rattaché aux actions ordinaires.</w:t>
      </w:r>
    </w:p>
    <w:p w14:paraId="05F742FE"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En date des présentes, les actions ordinaires sont la seule catégorie d’actions émises et en circulation et il n’y a pas d’actions émises et en circulation de rang supérieur aux actions ordinaires.</w:t>
      </w:r>
    </w:p>
    <w:p w14:paraId="79D1BF18" w14:textId="77777777" w:rsidR="00695197" w:rsidRPr="007D4280" w:rsidRDefault="00152032" w:rsidP="00E72EC2">
      <w:pPr>
        <w:pStyle w:val="AIF-Level2"/>
        <w:outlineLvl w:val="1"/>
      </w:pPr>
      <w:bookmarkStart w:id="44" w:name="_Toc226985982"/>
      <w:r w:rsidRPr="007D4280">
        <w:t>Titres sans droit de vote</w:t>
      </w:r>
      <w:bookmarkEnd w:id="44"/>
    </w:p>
    <w:p w14:paraId="7E9CFE17"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En date des présentes, il n’y a pas de titres sans droit de vote émis et en circulation. Les titres sans droit de vote confèrent des droits identiques à ceux des actions ordinaires, à l’exception de ce qui suit :</w:t>
      </w:r>
    </w:p>
    <w:p w14:paraId="67CCBAA7" w14:textId="77777777" w:rsidR="00695197" w:rsidRPr="007D4280" w:rsidRDefault="00152032" w:rsidP="001B3F05">
      <w:pPr>
        <w:numPr>
          <w:ilvl w:val="0"/>
          <w:numId w:val="3"/>
        </w:numPr>
        <w:spacing w:after="120" w:line="300" w:lineRule="auto"/>
        <w:rPr>
          <w:sz w:val="18"/>
        </w:rPr>
      </w:pPr>
      <w:r w:rsidRPr="007D4280">
        <w:rPr>
          <w:rFonts w:ascii="Arial" w:hAnsi="Arial"/>
          <w:sz w:val="18"/>
        </w:rPr>
        <w:t>Sauf lorsque la loi l’exige, les porteurs des titres sans droit de vote n’ont pas le droit de voter en tant que catégorie à une assemblée des actionnaires de la Société.</w:t>
      </w:r>
    </w:p>
    <w:p w14:paraId="34219413" w14:textId="77777777" w:rsidR="00695197" w:rsidRPr="007D4280" w:rsidRDefault="00152032" w:rsidP="001B3F05">
      <w:pPr>
        <w:numPr>
          <w:ilvl w:val="0"/>
          <w:numId w:val="3"/>
        </w:numPr>
        <w:spacing w:after="120" w:line="300" w:lineRule="auto"/>
        <w:rPr>
          <w:sz w:val="18"/>
        </w:rPr>
      </w:pPr>
      <w:r w:rsidRPr="007D4280">
        <w:rPr>
          <w:rFonts w:ascii="Arial" w:hAnsi="Arial"/>
          <w:sz w:val="18"/>
        </w:rPr>
        <w:t>Les porteurs des titres sans droit de vote n’ont pas le droit de voter séparément en tant que catégorie, ni d’exprimer leur dissension à l’égard d’une proposition de modification des statuts visant à : a) augmenter ou diminuer le nombre maximal de titres sans droit de vote autorisé par suite d’une subdivision ou d’un regroupement, respectivement; b) accroître le nombre maximal d’actions autorisées d’une catégorie ou d’une série d’une catégorie assortie de droits ou de privilèges équivalents ou supérieurs à ceux des titres sans droit de vote; c) échanger, reclasser ou annuler les titres sans droit de vote; ou d) créer une nouvelle catégorie ou série d’une catégorie d’actions équivalente ou supérieure à celle des titres sans droit de vote, à moins que les porteurs de titres sans droit de vote ne soient touchés par cette modification d’une façon différente de celle des porteurs d’actions ordinaires.</w:t>
      </w:r>
    </w:p>
    <w:p w14:paraId="073A7CF7" w14:textId="77777777" w:rsidR="00695197" w:rsidRPr="007D4280" w:rsidRDefault="00152032" w:rsidP="001B3F05">
      <w:pPr>
        <w:numPr>
          <w:ilvl w:val="0"/>
          <w:numId w:val="3"/>
        </w:numPr>
        <w:spacing w:after="120" w:line="300" w:lineRule="auto"/>
        <w:rPr>
          <w:sz w:val="18"/>
        </w:rPr>
      </w:pPr>
      <w:r w:rsidRPr="007D4280">
        <w:rPr>
          <w:rFonts w:ascii="Arial" w:hAnsi="Arial"/>
          <w:sz w:val="18"/>
        </w:rPr>
        <w:t>Les porteurs de titres sans droit de vote peuvent convertir ceux-ci à tout moment en des actions ordinaires entièrement libérées à raison de une action ordinaire contre un titre sans droit de vote.</w:t>
      </w:r>
    </w:p>
    <w:p w14:paraId="3AFC62FB" w14:textId="3FEB9EF1" w:rsidR="00695197" w:rsidRPr="007D4280" w:rsidRDefault="00152032" w:rsidP="00133C03">
      <w:pPr>
        <w:numPr>
          <w:ilvl w:val="0"/>
          <w:numId w:val="3"/>
        </w:numPr>
        <w:spacing w:after="120" w:line="300" w:lineRule="auto"/>
        <w:rPr>
          <w:sz w:val="18"/>
        </w:rPr>
      </w:pPr>
      <w:r w:rsidRPr="007D4280">
        <w:rPr>
          <w:rFonts w:ascii="Arial" w:hAnsi="Arial"/>
          <w:sz w:val="18"/>
        </w:rPr>
        <w:t>Si à un moment donné, un porteur de titres sans droit de vote transfère une partie ou la totalité des titres sans droit de vote qu’il détient à une autre personne, les actions transférées seront automatiquement converties en actions ordinaires entièrement libérées de la Société à raison de une action ordinaire contre un titre sans droit de vote. La conversion aura lieu simultanément à la réalisation d’un tel transfert, sans autre intervention de la Société ou de qui que ce soit d’autre, de sorte que le cessionnaire sera le porteur d’un nombre d’actions ordinaires équivalant à celui des titres sans droit de vote transférés par le cédant.</w:t>
      </w:r>
    </w:p>
    <w:p w14:paraId="7F6DFE23" w14:textId="77777777" w:rsidR="00695197" w:rsidRPr="007D4280" w:rsidRDefault="00152032" w:rsidP="001B3F05">
      <w:pPr>
        <w:numPr>
          <w:ilvl w:val="0"/>
          <w:numId w:val="3"/>
        </w:numPr>
        <w:spacing w:after="120" w:line="300" w:lineRule="auto"/>
        <w:rPr>
          <w:sz w:val="18"/>
        </w:rPr>
      </w:pPr>
      <w:r w:rsidRPr="007D4280">
        <w:rPr>
          <w:rFonts w:ascii="Arial" w:hAnsi="Arial"/>
          <w:sz w:val="18"/>
        </w:rPr>
        <w:t>Les porteurs des titres sans droit de vote n’ont pas le droit de participer à une offre publique d’achat visant les actions ordinaires de la Société. Ces porteurs ont cependant le droit de convertir leurs titres sans droit de vote en actions ordinaires et de participer à une offre publique d’achat de cette façon.</w:t>
      </w:r>
    </w:p>
    <w:p w14:paraId="39BB8571"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 xml:space="preserve">Ces titres sans droit de vote peuvent être considérés comme des « titres subalternes » en vertu du </w:t>
      </w:r>
      <w:r w:rsidRPr="007D4280">
        <w:rPr>
          <w:rFonts w:ascii="Arial" w:hAnsi="Arial"/>
          <w:i/>
          <w:sz w:val="18"/>
        </w:rPr>
        <w:t>Règlement 51-102 sur les obligations d’information continue</w:t>
      </w:r>
      <w:r w:rsidRPr="007D4280">
        <w:rPr>
          <w:rFonts w:ascii="Arial" w:hAnsi="Arial"/>
          <w:sz w:val="18"/>
        </w:rPr>
        <w:t>, étant donné que les actions ordinaires de la Société, qui sont négociées en bourse, comportent un droit de vote plus important par titre que les titres sans droit de vote.</w:t>
      </w:r>
    </w:p>
    <w:p w14:paraId="69FB1C49" w14:textId="77777777" w:rsidR="00695197" w:rsidRPr="007D4280" w:rsidRDefault="00152032" w:rsidP="00E72EC2">
      <w:pPr>
        <w:pStyle w:val="AIF-Level2"/>
        <w:outlineLvl w:val="1"/>
      </w:pPr>
      <w:bookmarkStart w:id="45" w:name="_Toc226985983"/>
      <w:r w:rsidRPr="007D4280">
        <w:t>Actions privilégiées</w:t>
      </w:r>
      <w:bookmarkEnd w:id="45"/>
    </w:p>
    <w:p w14:paraId="61790D5C"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Les actions privilégiées peuvent être émises en une ou en plusieurs séries. En date des présentes, aucune série d’actions privilégiées n’avait été créée et aucune action privilégiée n’avait été émise. Les caractéristiques clés des actions privilégiées sont décrites ci-dessous.</w:t>
      </w:r>
    </w:p>
    <w:p w14:paraId="7C027163" w14:textId="77777777" w:rsidR="00695197" w:rsidRPr="007D4280" w:rsidRDefault="00152032" w:rsidP="001B3F05">
      <w:pPr>
        <w:numPr>
          <w:ilvl w:val="0"/>
          <w:numId w:val="4"/>
        </w:numPr>
        <w:spacing w:after="120" w:line="300" w:lineRule="auto"/>
        <w:rPr>
          <w:sz w:val="18"/>
        </w:rPr>
      </w:pPr>
      <w:r w:rsidRPr="007D4280">
        <w:rPr>
          <w:rFonts w:ascii="Arial" w:hAnsi="Arial"/>
          <w:sz w:val="18"/>
        </w:rPr>
        <w:t>Toutes les séries d’actions privilégiées sont de rang égal en ce qui a trait au rachat des actions, au paiement des dividendes, au remboursement du capital et à la répartition de l’actif en cas de liquidation ou de dissolution, volontaire ou non, de la Société.</w:t>
      </w:r>
    </w:p>
    <w:p w14:paraId="04C4E38C" w14:textId="77777777" w:rsidR="00695197" w:rsidRPr="007D4280" w:rsidRDefault="00152032" w:rsidP="001B3F05">
      <w:pPr>
        <w:numPr>
          <w:ilvl w:val="0"/>
          <w:numId w:val="4"/>
        </w:numPr>
        <w:spacing w:after="120" w:line="300" w:lineRule="auto"/>
        <w:rPr>
          <w:sz w:val="18"/>
        </w:rPr>
      </w:pPr>
      <w:r w:rsidRPr="007D4280">
        <w:rPr>
          <w:rFonts w:ascii="Arial" w:hAnsi="Arial"/>
          <w:sz w:val="18"/>
        </w:rPr>
        <w:t>Chaque série d’actions privilégiées sera de rang supérieur aux actions ordinaires, aux titres sans droit de vote et à toute autre catégorie d’actions de la Société qui sera de rang inférieur aux actions privilégiées en ce qui a trait au rachat des actions, au paiement des dividendes, au remboursement du capital et à la répartition de l’actif en cas de liquidation ou de dissolution de la Société.</w:t>
      </w:r>
    </w:p>
    <w:p w14:paraId="105A19A6" w14:textId="4D3D4C15" w:rsidR="00695197" w:rsidRPr="007D4280" w:rsidRDefault="00152032" w:rsidP="001B3F05">
      <w:pPr>
        <w:numPr>
          <w:ilvl w:val="0"/>
          <w:numId w:val="4"/>
        </w:numPr>
        <w:spacing w:after="120" w:line="300" w:lineRule="auto"/>
        <w:rPr>
          <w:sz w:val="18"/>
        </w:rPr>
      </w:pPr>
      <w:r w:rsidRPr="007D4280">
        <w:rPr>
          <w:rFonts w:ascii="Arial" w:hAnsi="Arial"/>
          <w:sz w:val="18"/>
        </w:rPr>
        <w:t>Les actions privilégiées de toute série pourront également être assorties d’autres privilèges par rapport aux actions ordinaires, aux titres sans droit de vote et à toute autre catégorie d’actions de la Société de rang inférieur aux actions privilégiées, selon ce que le Conseil établira, sous réserve du respect des modalités générales de la catégorie d’actions en question.</w:t>
      </w:r>
    </w:p>
    <w:p w14:paraId="6B96BA16" w14:textId="60FB18FC" w:rsidR="00695197" w:rsidRPr="007D4280" w:rsidRDefault="00152032" w:rsidP="001B3F05">
      <w:pPr>
        <w:numPr>
          <w:ilvl w:val="0"/>
          <w:numId w:val="4"/>
        </w:numPr>
        <w:spacing w:after="120" w:line="300" w:lineRule="auto"/>
        <w:rPr>
          <w:sz w:val="18"/>
        </w:rPr>
      </w:pPr>
      <w:r w:rsidRPr="007D4280">
        <w:rPr>
          <w:rFonts w:ascii="Arial" w:hAnsi="Arial"/>
          <w:sz w:val="18"/>
        </w:rPr>
        <w:t>Les porteurs de chaque catégorie d’actions privilégiées auront le droit de recevoir tous les dividendes cumulatifs déclarés, le cas échéant, par le Conseil, selon le taux annuel par action établi par le Conseil, agissant de bonne foi, pourvu que ce taux annuel par action n’excède pas de plus de 2,0 % le rendement à l’échéance d’une obligation non garantie assortie d’une notation de crédit similaire émise par un « émetteur comparable » à la date d’établissement des droits, des privilèges, des restrictions et des conditions rattachés aux actions de cette série d’actions privilégiées ou à toute autre date la plus rapprochée possible de cette date, sous réserve que cette obligation ait une durée équivalente ou très similaire à la durée à courir jusqu’à la date où la série d’actions privilégiées peut faire l’objet d’un rachat, en totalité ou en partie, pour la première fois. Un « émetteur comparable » s’entend d’un émetteur que le Conseil aura jugé comparable à la Société du fait qu’il évolue dans le même secteur d’activité que la Société et dont les titres de créance à long terme non garantis en circulation sont assortis d’une notation de crédit similaire (c’est-à-dire une notation de crédit qui est identique ou qui se rapproche le plus possible de la notation de crédit attribuée aux titres de créance à long terme en circulation de la Société).</w:t>
      </w:r>
    </w:p>
    <w:p w14:paraId="106DD475" w14:textId="1BFA6220" w:rsidR="00695197" w:rsidRPr="007D4280" w:rsidRDefault="00152032" w:rsidP="001B3F05">
      <w:pPr>
        <w:numPr>
          <w:ilvl w:val="0"/>
          <w:numId w:val="4"/>
        </w:numPr>
        <w:spacing w:after="120" w:line="300" w:lineRule="auto"/>
        <w:rPr>
          <w:sz w:val="18"/>
        </w:rPr>
      </w:pPr>
      <w:r w:rsidRPr="007D4280">
        <w:rPr>
          <w:rFonts w:ascii="Arial" w:hAnsi="Arial"/>
          <w:sz w:val="18"/>
        </w:rPr>
        <w:t>Aucune série d’actions privilégiées ne pourra être convertie en une autre catégorie d’actions de la Société. Chaque série d’actions privilégiées sera rachetable au gré de la Société, selon les modalités établies par le Conseil.</w:t>
      </w:r>
    </w:p>
    <w:p w14:paraId="607C46B9" w14:textId="6F9332A6" w:rsidR="00695197" w:rsidRPr="007D4280" w:rsidRDefault="00152032" w:rsidP="001B3F05">
      <w:pPr>
        <w:numPr>
          <w:ilvl w:val="0"/>
          <w:numId w:val="4"/>
        </w:numPr>
        <w:spacing w:after="120" w:line="300" w:lineRule="auto"/>
        <w:rPr>
          <w:sz w:val="18"/>
        </w:rPr>
      </w:pPr>
      <w:r w:rsidRPr="007D4280">
        <w:rPr>
          <w:rFonts w:ascii="Arial" w:hAnsi="Arial"/>
          <w:sz w:val="18"/>
        </w:rPr>
        <w:t>Les porteurs d’actions privilégiées ne seront pas en droit de recevoir un avis de convocation à une assemblée des actionnaires de la Société, ni n’auront le droit d’y assister ou d’y voter, sauf si la loi le permet et sauf en cas de défaut de la Société, si le Conseil n’a pas déclaré le dividende global sur la série d’actions privilégiées visée au cours d’une période, auquel cas ces porteurs auront le droit de recevoir un avis de convocation à l’assemblée des actionnaires, d’y assister et d’y voter (à raison d’une voix par action détenue) et ces droits de vote deviendront caducs au moment du versement par la Société du dividende auquel les porteurs ont droit.</w:t>
      </w:r>
    </w:p>
    <w:p w14:paraId="1AB20638" w14:textId="7D0B0003" w:rsidR="00695197" w:rsidRPr="007D4280" w:rsidRDefault="00152032" w:rsidP="001B3F05">
      <w:pPr>
        <w:numPr>
          <w:ilvl w:val="0"/>
          <w:numId w:val="4"/>
        </w:numPr>
        <w:spacing w:after="120" w:line="300" w:lineRule="auto"/>
        <w:rPr>
          <w:sz w:val="18"/>
        </w:rPr>
      </w:pPr>
      <w:r w:rsidRPr="007D4280">
        <w:rPr>
          <w:rFonts w:ascii="Arial" w:hAnsi="Arial"/>
          <w:sz w:val="18"/>
        </w:rPr>
        <w:t>À l’émission d’une action d’une série d’actions privilégiées, le nombre total d’actions de cette série d’actions privilégiées à émettre est limité de sorte que la valeur globale de l’ensemble des actions privilégiées émises et en circulation, y compris la valeur des actions privilégiées de cette série à émettre (calculée selon le prix d’émission par action de chaque action privilégiée) ne doit pas excéder 25 % de la capitalisation boursière des actions ordinaires (la valeur globale des actions ordinaires et des titres sans droit de vote de la Société émis et en circulation, établie selon le cours moyen pondéré en fonction du volume des actions ordinaires négociées à la Bourse de Toronto au cours des cinq [5] jours de bourse précédant immédiatement 17 h à la date à laquelle le Conseil établit le prix d’émission par action de la série d’actions privilégiées à émettre).</w:t>
      </w:r>
    </w:p>
    <w:p w14:paraId="3AA5521C" w14:textId="77777777" w:rsidR="00695197" w:rsidRPr="007D4280" w:rsidRDefault="00152032" w:rsidP="001B3F05">
      <w:pPr>
        <w:numPr>
          <w:ilvl w:val="0"/>
          <w:numId w:val="4"/>
        </w:numPr>
        <w:spacing w:after="120" w:line="300" w:lineRule="auto"/>
        <w:rPr>
          <w:sz w:val="18"/>
        </w:rPr>
      </w:pPr>
      <w:r w:rsidRPr="007D4280">
        <w:rPr>
          <w:rFonts w:ascii="Arial" w:hAnsi="Arial"/>
          <w:sz w:val="18"/>
        </w:rPr>
        <w:t>Les porteurs d’actions privilégiées n’ont pas le droit de participer à une offre publique d’achat visant les actions ordinaires de la Société.</w:t>
      </w:r>
    </w:p>
    <w:p w14:paraId="734BC5C0" w14:textId="77777777" w:rsidR="00695197" w:rsidRPr="007D4280" w:rsidRDefault="00152032" w:rsidP="00E72EC2">
      <w:pPr>
        <w:pStyle w:val="AIF-Level2"/>
        <w:outlineLvl w:val="1"/>
      </w:pPr>
      <w:bookmarkStart w:id="46" w:name="_Toc226985984"/>
      <w:r w:rsidRPr="007D4280">
        <w:t>Accord de gouvernance</w:t>
      </w:r>
      <w:bookmarkEnd w:id="46"/>
    </w:p>
    <w:p w14:paraId="3CEE3ED3"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 21 février 2017, la Société a conclu un nouvel accord de gouvernance avec McCain Capital Inc. et Michael H. McCain (l</w:t>
      </w:r>
      <w:proofErr w:type="gramStart"/>
      <w:r w:rsidRPr="007D4280">
        <w:rPr>
          <w:rFonts w:ascii="Arial" w:hAnsi="Arial"/>
          <w:sz w:val="18"/>
        </w:rPr>
        <w:t>’«</w:t>
      </w:r>
      <w:proofErr w:type="gramEnd"/>
      <w:r w:rsidRPr="007D4280">
        <w:rPr>
          <w:rFonts w:ascii="Arial" w:hAnsi="Arial"/>
          <w:sz w:val="18"/>
        </w:rPr>
        <w:t> accord de gouvernance »), qui est une version modifiée et reformulée de l’accord de gouvernance conclu le 28 juillet 2011, pour :</w:t>
      </w:r>
    </w:p>
    <w:p w14:paraId="1AED0A08" w14:textId="3B26AECB" w:rsidR="00695197" w:rsidRPr="007D4280" w:rsidRDefault="00152032" w:rsidP="001B3F05">
      <w:pPr>
        <w:numPr>
          <w:ilvl w:val="0"/>
          <w:numId w:val="5"/>
        </w:numPr>
        <w:spacing w:after="120" w:line="300" w:lineRule="auto"/>
        <w:rPr>
          <w:sz w:val="18"/>
        </w:rPr>
      </w:pPr>
      <w:proofErr w:type="gramStart"/>
      <w:r w:rsidRPr="007D4280">
        <w:rPr>
          <w:rFonts w:ascii="Arial" w:hAnsi="Arial"/>
          <w:sz w:val="18"/>
        </w:rPr>
        <w:t>permettre</w:t>
      </w:r>
      <w:proofErr w:type="gramEnd"/>
      <w:r w:rsidRPr="007D4280">
        <w:rPr>
          <w:rFonts w:ascii="Arial" w:hAnsi="Arial"/>
          <w:sz w:val="18"/>
        </w:rPr>
        <w:t xml:space="preserve"> au régime de droits des actionnaires de la Société qui était en place depuis 2011 (dans sa version modifiée et mise à jour, le « régime de droits ») de prendre fin conformément à ses modalités et d’éliminer les obstacles à l’accumulation d’actions par des tiers;</w:t>
      </w:r>
    </w:p>
    <w:p w14:paraId="12A6A588" w14:textId="3CC0BE33" w:rsidR="00695197" w:rsidRPr="007D4280" w:rsidRDefault="00152032" w:rsidP="001B3F05">
      <w:pPr>
        <w:numPr>
          <w:ilvl w:val="0"/>
          <w:numId w:val="5"/>
        </w:numPr>
        <w:spacing w:after="120" w:line="300" w:lineRule="auto"/>
        <w:rPr>
          <w:sz w:val="18"/>
        </w:rPr>
      </w:pPr>
      <w:proofErr w:type="gramStart"/>
      <w:r w:rsidRPr="007D4280">
        <w:rPr>
          <w:rFonts w:ascii="Arial" w:hAnsi="Arial"/>
          <w:sz w:val="18"/>
        </w:rPr>
        <w:t>réglementer</w:t>
      </w:r>
      <w:proofErr w:type="gramEnd"/>
      <w:r w:rsidRPr="007D4280">
        <w:rPr>
          <w:rFonts w:ascii="Arial" w:hAnsi="Arial"/>
          <w:sz w:val="18"/>
        </w:rPr>
        <w:t xml:space="preserve"> (de la même façon que le régime de droits) l’aliénation par Michael H. McCain et McCain Capital Inc. de leurs actions et fixer une limite quant au nombre d’actions et aux droits des détenteurs de McCain ainsi qu’à leur droit d’acquérir jusqu’à 45 % des actions de la Société;</w:t>
      </w:r>
    </w:p>
    <w:p w14:paraId="1E2916F8" w14:textId="3A6F2344" w:rsidR="00695197" w:rsidRPr="007D4280" w:rsidRDefault="00152032" w:rsidP="001B3F05">
      <w:pPr>
        <w:numPr>
          <w:ilvl w:val="0"/>
          <w:numId w:val="5"/>
        </w:numPr>
        <w:spacing w:after="120" w:line="300" w:lineRule="auto"/>
        <w:rPr>
          <w:sz w:val="18"/>
        </w:rPr>
      </w:pPr>
      <w:proofErr w:type="gramStart"/>
      <w:r w:rsidRPr="007D4280">
        <w:rPr>
          <w:rFonts w:ascii="Arial" w:hAnsi="Arial"/>
          <w:sz w:val="18"/>
        </w:rPr>
        <w:t>s’assurer</w:t>
      </w:r>
      <w:proofErr w:type="gramEnd"/>
      <w:r w:rsidRPr="007D4280">
        <w:rPr>
          <w:rFonts w:ascii="Arial" w:hAnsi="Arial"/>
          <w:sz w:val="18"/>
        </w:rPr>
        <w:t xml:space="preserve"> que le Conseil est composé en majorité d’administrateurs nommés par le comité de gouvernance d’entreprise;</w:t>
      </w:r>
    </w:p>
    <w:p w14:paraId="2962E34A" w14:textId="77777777" w:rsidR="00695197" w:rsidRPr="007D4280" w:rsidRDefault="00152032" w:rsidP="001B3F05">
      <w:pPr>
        <w:numPr>
          <w:ilvl w:val="0"/>
          <w:numId w:val="5"/>
        </w:numPr>
        <w:spacing w:after="120" w:line="300" w:lineRule="auto"/>
        <w:rPr>
          <w:sz w:val="18"/>
        </w:rPr>
      </w:pPr>
      <w:proofErr w:type="gramStart"/>
      <w:r w:rsidRPr="007D4280">
        <w:rPr>
          <w:rFonts w:ascii="Arial" w:hAnsi="Arial"/>
          <w:sz w:val="18"/>
        </w:rPr>
        <w:t>donner</w:t>
      </w:r>
      <w:proofErr w:type="gramEnd"/>
      <w:r w:rsidRPr="007D4280">
        <w:rPr>
          <w:rFonts w:ascii="Arial" w:hAnsi="Arial"/>
          <w:sz w:val="18"/>
        </w:rPr>
        <w:t xml:space="preserve"> de la souplesse au conseil d’administration pour l’émission et le rachat d’actions et, en général, pour les décisions relatives à la répartition du capital;</w:t>
      </w:r>
    </w:p>
    <w:p w14:paraId="51B65464" w14:textId="77777777" w:rsidR="00695197" w:rsidRPr="007D4280" w:rsidRDefault="00152032" w:rsidP="001B3F05">
      <w:pPr>
        <w:numPr>
          <w:ilvl w:val="0"/>
          <w:numId w:val="5"/>
        </w:numPr>
        <w:spacing w:after="120" w:line="300" w:lineRule="auto"/>
        <w:rPr>
          <w:sz w:val="18"/>
        </w:rPr>
      </w:pPr>
      <w:proofErr w:type="gramStart"/>
      <w:r w:rsidRPr="007D4280">
        <w:rPr>
          <w:rFonts w:ascii="Arial" w:hAnsi="Arial"/>
          <w:sz w:val="18"/>
        </w:rPr>
        <w:t>régler</w:t>
      </w:r>
      <w:proofErr w:type="gramEnd"/>
      <w:r w:rsidRPr="007D4280">
        <w:rPr>
          <w:rFonts w:ascii="Arial" w:hAnsi="Arial"/>
          <w:sz w:val="18"/>
        </w:rPr>
        <w:t xml:space="preserve"> la question des possibles transferts intergénérationnels des participations de la famille McCain.</w:t>
      </w:r>
    </w:p>
    <w:p w14:paraId="5AD0573E" w14:textId="3F28F508" w:rsidR="00695197" w:rsidRPr="007D4280" w:rsidRDefault="00152032" w:rsidP="00E72EC2">
      <w:pPr>
        <w:spacing w:after="120" w:line="300" w:lineRule="auto"/>
        <w:rPr>
          <w:rFonts w:ascii="Arial" w:eastAsia="Arial" w:hAnsi="Arial" w:cs="Arial"/>
          <w:sz w:val="18"/>
        </w:rPr>
      </w:pPr>
      <w:r w:rsidRPr="007D4280">
        <w:rPr>
          <w:rFonts w:ascii="Arial" w:hAnsi="Arial"/>
          <w:sz w:val="18"/>
        </w:rPr>
        <w:t xml:space="preserve">Une copie de l’accord de gouvernance est accessible sur SEDAR+ au </w:t>
      </w:r>
      <w:hyperlink r:id="rId22" w:history="1">
        <w:r w:rsidRPr="007D4280">
          <w:rPr>
            <w:rStyle w:val="Hyperlink"/>
            <w:rFonts w:ascii="Arial" w:hAnsi="Arial"/>
            <w:sz w:val="18"/>
          </w:rPr>
          <w:t>www.sedarplus.ca</w:t>
        </w:r>
      </w:hyperlink>
      <w:r w:rsidRPr="007D4280">
        <w:rPr>
          <w:rFonts w:ascii="Arial" w:hAnsi="Arial"/>
          <w:sz w:val="18"/>
        </w:rPr>
        <w:t>, et un résumé de ses principales caractéristiques est fourni ci-dessous.</w:t>
      </w:r>
    </w:p>
    <w:p w14:paraId="05AFDA57" w14:textId="67A8B397" w:rsidR="00695197" w:rsidRPr="007D4280" w:rsidRDefault="00152032" w:rsidP="001B3F05">
      <w:pPr>
        <w:numPr>
          <w:ilvl w:val="0"/>
          <w:numId w:val="6"/>
        </w:numPr>
        <w:spacing w:after="120" w:line="300" w:lineRule="auto"/>
        <w:rPr>
          <w:sz w:val="18"/>
        </w:rPr>
      </w:pPr>
      <w:r w:rsidRPr="007D4280">
        <w:rPr>
          <w:rFonts w:ascii="Arial" w:hAnsi="Arial"/>
          <w:sz w:val="18"/>
        </w:rPr>
        <w:t>Les détenteurs de McCain (qui comprennent Michael H. McCain, McCain Capital Inc. et certaines tierces parties, tous définis dans l’accord de gouvernance) conservent le droit de nommer un nombre d’administrateurs de la Société proportionnel à leur participation; toutefois, l’accord de gouvernance établit un plafond pour le nombre de candidats proposés afin que le comité de gouvernance d’entreprise du conseil d’administration, peu importe la participation des détenteurs de McCain, conserve le droit de nommer la majorité des administrateurs.</w:t>
      </w:r>
    </w:p>
    <w:p w14:paraId="4657F5E6" w14:textId="3B62D190" w:rsidR="00695197" w:rsidRPr="007D4280" w:rsidRDefault="00152032" w:rsidP="001B3F05">
      <w:pPr>
        <w:numPr>
          <w:ilvl w:val="0"/>
          <w:numId w:val="6"/>
        </w:numPr>
        <w:spacing w:after="120" w:line="300" w:lineRule="auto"/>
        <w:rPr>
          <w:sz w:val="18"/>
        </w:rPr>
      </w:pPr>
      <w:r w:rsidRPr="007D4280">
        <w:rPr>
          <w:rFonts w:ascii="Arial" w:hAnsi="Arial"/>
          <w:sz w:val="18"/>
        </w:rPr>
        <w:t>Tous les administrateurs nommés par le comité de gouvernance d’entreprise du conseil seront indépendants de la Société et des détenteurs de McCain, sauf dans certaines circonstances où le Conseil juge qu’il serait dans l’intérêt supérieur de la Société de nommer un administrateur qui n’est pas indépendant.</w:t>
      </w:r>
    </w:p>
    <w:p w14:paraId="37815E88" w14:textId="5D956DA6" w:rsidR="00695197" w:rsidRPr="007D4280" w:rsidRDefault="00152032" w:rsidP="001B3F05">
      <w:pPr>
        <w:numPr>
          <w:ilvl w:val="0"/>
          <w:numId w:val="6"/>
        </w:numPr>
        <w:spacing w:after="120" w:line="300" w:lineRule="auto"/>
        <w:rPr>
          <w:sz w:val="18"/>
        </w:rPr>
      </w:pPr>
      <w:r w:rsidRPr="007D4280">
        <w:rPr>
          <w:rFonts w:ascii="Arial" w:hAnsi="Arial"/>
          <w:sz w:val="18"/>
        </w:rPr>
        <w:t>Les détenteurs de McCain ne peuvent être propriétaires bénéficiaires de plus de 45 % (après dilution totale) des actions ordinaires en circulation de la Société ni exercer un contrôle ou une emprise sur ces dernières, sauf après l’exercice du droit d’acquisition d’actions prévu aux plans d’avantages sur capitaux propres de la Société ou la prise de mesures par la Société telles qu’une offre publique de rachat ou encore par une offre publique d’achat autorisée par les détenteurs de McCain. Aux fins de l’accord de gouvernance, une offre publique d’achat autorisée est une offre publique d’achat qui vise la totalité des actions n’appartenant pas aux détenteurs de McCain et qui respecte par ailleurs les lois applicables. Une offre partielle (qui aurait pu être considérée comme autorisée en vertu du régime de droits) ne constitue pas une offre publique d’achat autorisée aux fins de l’accord de gouvernance.</w:t>
      </w:r>
    </w:p>
    <w:p w14:paraId="79146969" w14:textId="77777777" w:rsidR="00695197" w:rsidRPr="007D4280" w:rsidRDefault="00152032" w:rsidP="001B3F05">
      <w:pPr>
        <w:numPr>
          <w:ilvl w:val="0"/>
          <w:numId w:val="6"/>
        </w:numPr>
        <w:spacing w:after="120" w:line="300" w:lineRule="auto"/>
        <w:rPr>
          <w:sz w:val="18"/>
        </w:rPr>
      </w:pPr>
      <w:r w:rsidRPr="007D4280">
        <w:rPr>
          <w:rFonts w:ascii="Arial" w:hAnsi="Arial"/>
          <w:sz w:val="18"/>
        </w:rPr>
        <w:t>Les détenteurs de McCain consentent à ne pas transférer la propriété bénéficiaire des actions en circulation qu’ils détiennent, ou le contrôle ou l’emprise qu’ils exercent sur ces dernières, à quiconque qui, après le transfert, détiendrait 20 % ou plus des actions de la Société, sauf dans certaines circonstances telles que dans le cadre d’une offre publique de rachat visant 100 % des actions de la Société ou de certaines transactions de planification successorale autorisées. Les bénéficiaires de transfert admissibles dans le cadre de ces transactions de planification successorale peuvent devenir parties à l’accord de gouvernance et hériter des droits et des obligations des détenteurs de McCain en vertu de cet accord.</w:t>
      </w:r>
    </w:p>
    <w:p w14:paraId="1F1CD177" w14:textId="77777777" w:rsidR="00695197" w:rsidRPr="007D4280" w:rsidRDefault="00152032" w:rsidP="001B3F05">
      <w:pPr>
        <w:numPr>
          <w:ilvl w:val="0"/>
          <w:numId w:val="6"/>
        </w:numPr>
        <w:spacing w:after="120" w:line="300" w:lineRule="auto"/>
        <w:rPr>
          <w:sz w:val="18"/>
        </w:rPr>
      </w:pPr>
      <w:r w:rsidRPr="007D4280">
        <w:rPr>
          <w:rFonts w:ascii="Arial" w:hAnsi="Arial"/>
          <w:sz w:val="18"/>
        </w:rPr>
        <w:t>Les détenteurs de McCain consentent à ne pas conclure de conventions de dépôt de titres relativement à l’acquisition de leurs actions, sauf si la convention prévoit que les détenteurs de McCain peuvent la résilier afin d’accepter pour leurs actions une offre d’un prix supérieur à un certain pourcentage dans le cadre d’une autre transaction.</w:t>
      </w:r>
    </w:p>
    <w:p w14:paraId="2F9C807F" w14:textId="590E6651" w:rsidR="00695197" w:rsidRPr="007D4280" w:rsidRDefault="00152032" w:rsidP="001B3F05">
      <w:pPr>
        <w:numPr>
          <w:ilvl w:val="0"/>
          <w:numId w:val="6"/>
        </w:numPr>
        <w:spacing w:after="120" w:line="300" w:lineRule="auto"/>
        <w:rPr>
          <w:sz w:val="18"/>
        </w:rPr>
      </w:pPr>
      <w:r w:rsidRPr="007D4280">
        <w:rPr>
          <w:rFonts w:ascii="Arial" w:hAnsi="Arial"/>
          <w:sz w:val="18"/>
        </w:rPr>
        <w:t>La Société a consenti à ne pas présenter le régime de droits de la Société aux actionnaires aux fins de confirmation lors de l’assemblée générale annuelle de 2017. En conséquence, le régime de droits a expiré le 27 avril 2017 (date de l’assemblée générale annuelle de 2017), car il n’a pas été soumis aux actionnaires aux fins de confirmation conformément aux dispositions de l’accord de gouvernance décrites ci-dessus. La Société a également consenti à n’adopter aucun nouveau régime de droits ou règlement, à ne modifier aucun article de règlement ou de charte existant et à ne conclure aucun contrat qui risquerait, dans une mesure raisonnable, de limiter, de restreindre, de retarder ou d’infirmer les droits des détenteurs de McCain en vertu de l’accord de gouvernance, sauf dans certaines circonstances.</w:t>
      </w:r>
    </w:p>
    <w:p w14:paraId="1D3A293F" w14:textId="599DED2B" w:rsidR="00695197" w:rsidRPr="007D4280" w:rsidRDefault="00152032" w:rsidP="00E72EC2">
      <w:pPr>
        <w:pStyle w:val="AIF-Level2"/>
        <w:outlineLvl w:val="1"/>
      </w:pPr>
      <w:bookmarkStart w:id="47" w:name="_Toc226985985"/>
      <w:bookmarkStart w:id="48" w:name="_Hlk157366775"/>
      <w:bookmarkEnd w:id="42"/>
      <w:r w:rsidRPr="007D4280">
        <w:t>Facilités de crédit</w:t>
      </w:r>
      <w:bookmarkEnd w:id="47"/>
      <w:r w:rsidRPr="007D4280">
        <w:t xml:space="preserve"> </w:t>
      </w:r>
    </w:p>
    <w:bookmarkEnd w:id="48"/>
    <w:p w14:paraId="18FF96D9" w14:textId="5B0E1B45" w:rsidR="00123BD7" w:rsidRPr="007D4280" w:rsidRDefault="00C061A6" w:rsidP="00123BD7">
      <w:pPr>
        <w:spacing w:after="120" w:line="300" w:lineRule="auto"/>
        <w:rPr>
          <w:rFonts w:ascii="Arial" w:eastAsia="Arial" w:hAnsi="Arial" w:cs="Arial"/>
          <w:sz w:val="18"/>
        </w:rPr>
      </w:pPr>
      <w:r w:rsidRPr="007D4280">
        <w:rPr>
          <w:rFonts w:ascii="Arial" w:hAnsi="Arial"/>
          <w:sz w:val="18"/>
        </w:rPr>
        <w:t>Au 1</w:t>
      </w:r>
      <w:r w:rsidRPr="007D4280">
        <w:rPr>
          <w:rFonts w:ascii="Arial" w:hAnsi="Arial"/>
          <w:sz w:val="18"/>
          <w:vertAlign w:val="superscript"/>
        </w:rPr>
        <w:t>er</w:t>
      </w:r>
      <w:r w:rsidRPr="007D4280">
        <w:rPr>
          <w:rFonts w:ascii="Arial" w:hAnsi="Arial"/>
          <w:sz w:val="18"/>
        </w:rPr>
        <w:t> janvier 2024, la Société disposait d’une facilité de crédit syndiqué liée à la durabilité (la « facilité de crédit ») composée d’une ligne de crédit renouvelable non garantie de 1 300 millions de dollars venant à échéance le 29 juin 2027 et de trois facilités de crédit à terme non garanties consenties de 400 millions de dollars (tranche 3), de 350,0 millions de dollars (tranche 2) et de 265,0 millions de dollars américains (tranche 1) venant à échéance le 20 juin 2024, le 29 juin 2026 et le 29 juin 2027, respectivement. Le 30 avril 2024, la Société a modifié la facilité de crédit en réduisant la tranche 3 à 300 millions de dollars et en repoussant son échéance au 20 juin 2025, date à laquelle elle a été entièrement remboursée.</w:t>
      </w:r>
    </w:p>
    <w:p w14:paraId="471B770B" w14:textId="5BF39A23" w:rsidR="00123BD7" w:rsidRPr="007D4280" w:rsidRDefault="00123BD7" w:rsidP="00123BD7">
      <w:pPr>
        <w:spacing w:after="120" w:line="300" w:lineRule="auto"/>
        <w:rPr>
          <w:rFonts w:ascii="Arial" w:eastAsia="Arial" w:hAnsi="Arial" w:cs="Arial"/>
          <w:sz w:val="18"/>
        </w:rPr>
      </w:pPr>
      <w:r w:rsidRPr="007D4280">
        <w:rPr>
          <w:rFonts w:ascii="Arial" w:hAnsi="Arial"/>
          <w:sz w:val="18"/>
        </w:rPr>
        <w:t>Le 1</w:t>
      </w:r>
      <w:r w:rsidRPr="007D4280">
        <w:rPr>
          <w:rFonts w:ascii="Arial" w:hAnsi="Arial"/>
          <w:sz w:val="18"/>
          <w:vertAlign w:val="superscript"/>
        </w:rPr>
        <w:t>er</w:t>
      </w:r>
      <w:r w:rsidRPr="007D4280">
        <w:rPr>
          <w:rFonts w:ascii="Arial" w:hAnsi="Arial"/>
          <w:sz w:val="18"/>
        </w:rPr>
        <w:t xml:space="preserve"> octobre 2025, juste avant la réalisation de la Scission, le secteur porcin de la Société a conclu une entente de crédit assortie de garanties d’une durée de quatre ans, composée de prêts à terme d’un montant total du capital de 415 millions de dollars et d’une facilité de crédit renouvelable de 200 millions de dollars. Un montant de 415 millions de dollars a été prélevé sur cette facilité de crédit sous forme de prêts à terme. Cette facilité comportait également une capacité allant jusqu’à 50 millions de dollars en lettres de crédit, dont 0,6 million de dollars ont été utilisés. Cette facilité, appartenant à Canada Packers, a ensuite été sortie du bilan dans le cadre de l’opération de Scission. Au moment de la sortie du bilan, la facilité respectait toutes les clauses restrictives. </w:t>
      </w:r>
    </w:p>
    <w:p w14:paraId="0B1F0914" w14:textId="149BF455" w:rsidR="00123BD7" w:rsidRPr="007D4280" w:rsidRDefault="00123BD7" w:rsidP="00123BD7">
      <w:pPr>
        <w:spacing w:after="120" w:line="300" w:lineRule="auto"/>
        <w:rPr>
          <w:rFonts w:ascii="Arial" w:eastAsia="Arial" w:hAnsi="Arial" w:cs="Arial"/>
          <w:sz w:val="18"/>
        </w:rPr>
      </w:pPr>
      <w:r w:rsidRPr="007D4280">
        <w:rPr>
          <w:rFonts w:ascii="Arial" w:hAnsi="Arial"/>
          <w:sz w:val="18"/>
        </w:rPr>
        <w:t>À la clôture de la Scission des activités porcines de la Société, la facilité de crédit existante de la Société a été modifiée : la ligne de crédit renouvelable non garantie et engagée a été ramenée à 1 200 millions de dollars et son échéance a été reportée au 1</w:t>
      </w:r>
      <w:r w:rsidRPr="007D4280">
        <w:rPr>
          <w:rFonts w:ascii="Arial" w:hAnsi="Arial"/>
          <w:sz w:val="18"/>
          <w:vertAlign w:val="superscript"/>
        </w:rPr>
        <w:t>er</w:t>
      </w:r>
      <w:r w:rsidRPr="007D4280">
        <w:rPr>
          <w:rFonts w:ascii="Arial" w:hAnsi="Arial"/>
          <w:sz w:val="18"/>
        </w:rPr>
        <w:t> octobre 2030; la facilité à terme engagée non garantie (tranche 1) a été ramenée à 200 millions de dollars américains et prolongée jusqu’au 1</w:t>
      </w:r>
      <w:r w:rsidRPr="007D4280">
        <w:rPr>
          <w:rFonts w:ascii="Arial" w:hAnsi="Arial"/>
          <w:sz w:val="18"/>
          <w:vertAlign w:val="superscript"/>
        </w:rPr>
        <w:t>er</w:t>
      </w:r>
      <w:r w:rsidRPr="007D4280">
        <w:rPr>
          <w:rFonts w:ascii="Arial" w:hAnsi="Arial"/>
          <w:sz w:val="18"/>
        </w:rPr>
        <w:t> octobre 2029; et la facilité à terme engagée non garantie (tranche 2) a été portée à 550 millions de dollars et prolongée jusqu’au 1</w:t>
      </w:r>
      <w:r w:rsidRPr="007D4280">
        <w:rPr>
          <w:rFonts w:ascii="Arial" w:hAnsi="Arial"/>
          <w:sz w:val="18"/>
          <w:vertAlign w:val="superscript"/>
        </w:rPr>
        <w:t>er</w:t>
      </w:r>
      <w:r w:rsidRPr="007D4280">
        <w:rPr>
          <w:rFonts w:ascii="Arial" w:hAnsi="Arial"/>
          <w:sz w:val="18"/>
        </w:rPr>
        <w:t> octobre 2028.</w:t>
      </w:r>
    </w:p>
    <w:p w14:paraId="40E891CA" w14:textId="4BCB4E36" w:rsidR="00123BD7" w:rsidRPr="007D4280" w:rsidRDefault="00123BD7" w:rsidP="00123BD7">
      <w:pPr>
        <w:spacing w:after="120" w:line="300" w:lineRule="auto"/>
        <w:rPr>
          <w:rFonts w:ascii="Arial" w:eastAsia="Arial" w:hAnsi="Arial" w:cs="Arial"/>
          <w:sz w:val="18"/>
        </w:rPr>
      </w:pPr>
      <w:r w:rsidRPr="007D4280">
        <w:rPr>
          <w:rFonts w:ascii="Arial" w:hAnsi="Arial"/>
          <w:sz w:val="18"/>
        </w:rPr>
        <w:t>La facilité de crédit peut être utilisée en dollars canadiens ou américains et porte des intérêts payables mensuellement, selon le taux des opérations de pension à un jour (CORRA), le taux préférentiel en vigueur pour les prêts en dollars canadiens et le taux SOFR (</w:t>
      </w:r>
      <w:proofErr w:type="spellStart"/>
      <w:r w:rsidRPr="007D4280">
        <w:rPr>
          <w:rFonts w:ascii="Arial" w:hAnsi="Arial"/>
          <w:sz w:val="18"/>
        </w:rPr>
        <w:t>Secured</w:t>
      </w:r>
      <w:proofErr w:type="spellEnd"/>
      <w:r w:rsidRPr="007D4280">
        <w:rPr>
          <w:rFonts w:ascii="Arial" w:hAnsi="Arial"/>
          <w:sz w:val="18"/>
        </w:rPr>
        <w:t xml:space="preserve"> </w:t>
      </w:r>
      <w:proofErr w:type="spellStart"/>
      <w:r w:rsidRPr="007D4280">
        <w:rPr>
          <w:rFonts w:ascii="Arial" w:hAnsi="Arial"/>
          <w:sz w:val="18"/>
        </w:rPr>
        <w:t>Overnight</w:t>
      </w:r>
      <w:proofErr w:type="spellEnd"/>
      <w:r w:rsidRPr="007D4280">
        <w:rPr>
          <w:rFonts w:ascii="Arial" w:hAnsi="Arial"/>
          <w:sz w:val="18"/>
        </w:rPr>
        <w:t xml:space="preserve"> </w:t>
      </w:r>
      <w:proofErr w:type="spellStart"/>
      <w:r w:rsidRPr="007D4280">
        <w:rPr>
          <w:rFonts w:ascii="Arial" w:hAnsi="Arial"/>
          <w:sz w:val="18"/>
        </w:rPr>
        <w:t>Financing</w:t>
      </w:r>
      <w:proofErr w:type="spellEnd"/>
      <w:r w:rsidRPr="007D4280">
        <w:rPr>
          <w:rFonts w:ascii="Arial" w:hAnsi="Arial"/>
          <w:sz w:val="18"/>
        </w:rPr>
        <w:t xml:space="preserve"> Rate) en vigueur pour les prêts en dollars américains. La facilité de crédit est destinée à répondre aux exigences de financement de la Société en ce qui a trait aux dépenses en immobilisations, en plus de fournir le niveau de liquidités approprié pour les besoins organisationnels généraux. Le taux d’intérêt de la facilité de crédit peut être ajusté à la hausse ou à la baisse d’un maximum de 5 points de base en fonction du rendement de la Société par rapport à des objectifs de durabilité précis.</w:t>
      </w:r>
    </w:p>
    <w:p w14:paraId="0B6BCE86" w14:textId="16379491" w:rsidR="00123BD7" w:rsidRPr="007D4280" w:rsidRDefault="00123BD7" w:rsidP="00123BD7">
      <w:pPr>
        <w:spacing w:after="120" w:line="300" w:lineRule="auto"/>
        <w:rPr>
          <w:rFonts w:ascii="Arial" w:eastAsia="Arial" w:hAnsi="Arial" w:cs="Arial"/>
          <w:sz w:val="18"/>
        </w:rPr>
      </w:pPr>
      <w:r w:rsidRPr="007D4280">
        <w:rPr>
          <w:rFonts w:ascii="Arial" w:hAnsi="Arial"/>
          <w:sz w:val="18"/>
        </w:rPr>
        <w:t>En plus des prélèvements effectués sur la facilité renouvelable et du crédit à terme, au 31 décembre 2025, la Société avait établi des lettres de crédit de 9,4 millions de dollars sur la facilité de crédit (contre 9,1 millions de dollars en 2024).</w:t>
      </w:r>
    </w:p>
    <w:p w14:paraId="45C1A084" w14:textId="788DB6D0" w:rsidR="00123BD7" w:rsidRPr="007D4280" w:rsidRDefault="00123BD7" w:rsidP="00123BD7">
      <w:pPr>
        <w:spacing w:after="120" w:line="300" w:lineRule="auto"/>
        <w:rPr>
          <w:rFonts w:ascii="Arial" w:eastAsia="Arial" w:hAnsi="Arial" w:cs="Arial"/>
          <w:sz w:val="18"/>
        </w:rPr>
      </w:pPr>
      <w:r w:rsidRPr="007D4280">
        <w:rPr>
          <w:rFonts w:ascii="Arial" w:hAnsi="Arial"/>
          <w:sz w:val="18"/>
        </w:rPr>
        <w:t>La facilité de crédit exige le respect de certains engagements. Au 31 décembre 2025, la Société les respectait tous. Le premier engagement financier concerne le maintien par la Société d’un ratio d’endettement net sous un seuil déterminé.</w:t>
      </w:r>
    </w:p>
    <w:p w14:paraId="6851408D" w14:textId="32B59E3A" w:rsidR="00123BD7" w:rsidRPr="007D4280" w:rsidRDefault="00123BD7" w:rsidP="00123BD7">
      <w:pPr>
        <w:spacing w:after="120" w:line="300" w:lineRule="auto"/>
        <w:rPr>
          <w:rFonts w:ascii="Arial" w:eastAsia="Arial" w:hAnsi="Arial" w:cs="Arial"/>
          <w:sz w:val="18"/>
        </w:rPr>
      </w:pPr>
      <w:r w:rsidRPr="007D4280">
        <w:rPr>
          <w:rFonts w:ascii="Arial" w:hAnsi="Arial"/>
          <w:sz w:val="18"/>
        </w:rPr>
        <w:t>La Société bénéficie de facilités de crédit additionnelles non engagées pour l’émission de lettres de crédit au montant maximal de 105 millions de dollars (contre 105 millions de dollars en 2024). Au 31 décembre 2025, des lettres de crédit de 37,2 millions de dollars avaient été émises sur ce montant (contre 47,6 millions de dollars en 2024).</w:t>
      </w:r>
    </w:p>
    <w:p w14:paraId="16EEC2B7" w14:textId="6C05F497" w:rsidR="003C743E" w:rsidRPr="007D4280" w:rsidRDefault="00123BD7" w:rsidP="00123BD7">
      <w:pPr>
        <w:spacing w:after="120" w:line="300" w:lineRule="auto"/>
        <w:rPr>
          <w:rFonts w:ascii="Arial" w:eastAsia="Arial" w:hAnsi="Arial" w:cs="Arial"/>
          <w:sz w:val="18"/>
        </w:rPr>
      </w:pPr>
      <w:r w:rsidRPr="007D4280">
        <w:rPr>
          <w:rFonts w:ascii="Arial" w:hAnsi="Arial"/>
          <w:sz w:val="18"/>
        </w:rPr>
        <w:t>Au 31 décembre 2025, la Société détenait toujours un prêt gouvernemental non productif d’intérêt de 5,6 millions de dollars (contre 6,2 millions de dollars en 2024) venant à échéance en 2033. La facilité est engagée.</w:t>
      </w:r>
    </w:p>
    <w:p w14:paraId="1A69F52F" w14:textId="30F7EE8A" w:rsidR="00695197" w:rsidRPr="007D4280" w:rsidRDefault="00152032" w:rsidP="00E72EC2">
      <w:pPr>
        <w:pStyle w:val="AIF-Level1"/>
        <w:outlineLvl w:val="0"/>
        <w:rPr>
          <w:rFonts w:ascii="ArialMT" w:eastAsia="ArialMT" w:cs="ArialMT"/>
          <w:kern w:val="0"/>
          <w:szCs w:val="18"/>
        </w:rPr>
      </w:pPr>
      <w:bookmarkStart w:id="49" w:name="_Toc226985986"/>
      <w:bookmarkStart w:id="50" w:name="_Hlk186789487"/>
      <w:r w:rsidRPr="007D4280">
        <w:t>DIVIDENDES</w:t>
      </w:r>
      <w:bookmarkEnd w:id="49"/>
    </w:p>
    <w:p w14:paraId="6DEFC624" w14:textId="77777777" w:rsidR="00695197" w:rsidRPr="007D4280" w:rsidRDefault="00152032" w:rsidP="00E72EC2">
      <w:pPr>
        <w:pStyle w:val="AIF-Level2"/>
        <w:outlineLvl w:val="1"/>
      </w:pPr>
      <w:bookmarkStart w:id="51" w:name="_Toc226985987"/>
      <w:r w:rsidRPr="007D4280">
        <w:t>Politique en matière de dividendes</w:t>
      </w:r>
      <w:bookmarkEnd w:id="51"/>
    </w:p>
    <w:p w14:paraId="22914A84" w14:textId="3B853FF7" w:rsidR="00695197" w:rsidRPr="007D4280" w:rsidRDefault="00152032" w:rsidP="00E72EC2">
      <w:pPr>
        <w:spacing w:after="120" w:line="300" w:lineRule="auto"/>
        <w:rPr>
          <w:rFonts w:ascii="Arial" w:eastAsia="Arial" w:hAnsi="Arial" w:cs="Arial"/>
          <w:sz w:val="18"/>
        </w:rPr>
      </w:pPr>
      <w:r w:rsidRPr="007D4280">
        <w:rPr>
          <w:rFonts w:ascii="Arial" w:hAnsi="Arial"/>
          <w:sz w:val="18"/>
        </w:rPr>
        <w:t>Le montant des dividendes déclarés sur les actions ordinaires, s’il y a lieu, est déterminé par le Conseil et peut varier selon divers facteurs, dont les flux de trésorerie actuels et futurs, les dépenses en immobilisations, le remboursement des dettes et des emprunts et les besoins du fonds de roulement.</w:t>
      </w:r>
    </w:p>
    <w:p w14:paraId="3AE4721C" w14:textId="18AFD43E" w:rsidR="00695197" w:rsidRPr="007D4280" w:rsidRDefault="00162FBD" w:rsidP="00E72EC2">
      <w:pPr>
        <w:spacing w:after="120" w:line="300" w:lineRule="auto"/>
        <w:rPr>
          <w:rFonts w:ascii="Arial" w:eastAsia="Arial" w:hAnsi="Arial" w:cs="Arial"/>
          <w:sz w:val="18"/>
        </w:rPr>
      </w:pPr>
      <w:r w:rsidRPr="007D4280">
        <w:rPr>
          <w:rFonts w:ascii="Arial" w:hAnsi="Arial"/>
          <w:sz w:val="18"/>
        </w:rPr>
        <w:t>Le conseil d’administration a l’intention de verser un dividende croissant et durable au fil du temps, en tenant compte des résultats, des flux de trésorerie et de la situation financière de la Société. De façon générale, les Aliments Maple Leaf verse des dividendes trimestriels en espèces sur ses actions ordinaires. Habituellement, ces dividendes sont versés aux actionnaires le dernier jour ouvrable du mois selon la date de clôture des registres déterminée par le Conseil.</w:t>
      </w:r>
    </w:p>
    <w:p w14:paraId="68FA72F0" w14:textId="679BC3CF" w:rsidR="00695197" w:rsidRPr="007D4280" w:rsidRDefault="00152032" w:rsidP="00E72EC2">
      <w:pPr>
        <w:spacing w:after="120" w:line="300" w:lineRule="auto"/>
        <w:rPr>
          <w:rFonts w:ascii="Arial" w:eastAsia="Arial" w:hAnsi="Arial"/>
          <w:b/>
          <w:sz w:val="18"/>
        </w:rPr>
      </w:pPr>
      <w:bookmarkStart w:id="52" w:name="_Hlk127537997"/>
      <w:r w:rsidRPr="007D4280">
        <w:rPr>
          <w:rFonts w:ascii="Arial" w:hAnsi="Arial"/>
          <w:sz w:val="18"/>
        </w:rPr>
        <w:t xml:space="preserve">À l’heure actuelle, il est prévu que pour l’ensemble de 2026, les dividendes à verser seront réputés être des dividendes déterminés aux fins de l’application du « système de crédit d’impôt bonifié pour les dividendes ». </w:t>
      </w:r>
    </w:p>
    <w:bookmarkEnd w:id="52"/>
    <w:p w14:paraId="6B184810" w14:textId="5DB3C6BF" w:rsidR="00695197" w:rsidRPr="007D4280" w:rsidRDefault="00152032" w:rsidP="00E72EC2">
      <w:pPr>
        <w:spacing w:after="120" w:line="300" w:lineRule="auto"/>
        <w:rPr>
          <w:rFonts w:ascii="Arial" w:eastAsia="Arial" w:hAnsi="Arial" w:cs="Arial"/>
          <w:sz w:val="18"/>
        </w:rPr>
      </w:pPr>
      <w:r w:rsidRPr="007D4280">
        <w:rPr>
          <w:rFonts w:ascii="Arial" w:hAnsi="Arial"/>
          <w:sz w:val="18"/>
        </w:rPr>
        <w:t>En plus des tests de solvabilité et de liquidité normalisés imposés par la loi, la capacité des Aliments Maple Leaf de déclarer et de verser des dividendes dépend du respect par la Société des engagements pris dans le cadre de la facilité de crédit.</w:t>
      </w:r>
    </w:p>
    <w:p w14:paraId="4CBFE59A" w14:textId="214C4A22" w:rsidR="00D21CB8" w:rsidRPr="007D4280" w:rsidRDefault="00152032" w:rsidP="00D21CB8">
      <w:pPr>
        <w:spacing w:after="120" w:line="300" w:lineRule="auto"/>
        <w:rPr>
          <w:rFonts w:ascii="Arial" w:eastAsia="Arial" w:hAnsi="Arial" w:cs="Arial"/>
          <w:sz w:val="18"/>
        </w:rPr>
      </w:pPr>
      <w:r w:rsidRPr="007D4280">
        <w:rPr>
          <w:rFonts w:ascii="Arial" w:hAnsi="Arial"/>
          <w:sz w:val="18"/>
        </w:rPr>
        <w:t>Le régime de réinvestissement de dividendes de la Société permet aux actionnaires admissibles de réinvestir leurs dividendes en numéraire dans l’acquisition d’actions ordinaires additionnelles.</w:t>
      </w:r>
      <w:r w:rsidRPr="007D4280">
        <w:rPr>
          <w:rFonts w:ascii="Arial" w:hAnsi="Arial"/>
          <w:b/>
          <w:sz w:val="18"/>
        </w:rPr>
        <w:t xml:space="preserve"> </w:t>
      </w:r>
      <w:r w:rsidRPr="007D4280">
        <w:rPr>
          <w:rFonts w:ascii="Arial" w:hAnsi="Arial"/>
          <w:sz w:val="18"/>
        </w:rPr>
        <w:t xml:space="preserve">Pour les actionnaires qui désirent réinvestir leurs dividendes dans le cadre du régime, la Société émettra des actions ordinaires </w:t>
      </w:r>
      <w:proofErr w:type="spellStart"/>
      <w:r w:rsidRPr="007D4280">
        <w:rPr>
          <w:rFonts w:ascii="Arial" w:hAnsi="Arial"/>
          <w:sz w:val="18"/>
        </w:rPr>
        <w:t>autodétenues</w:t>
      </w:r>
      <w:proofErr w:type="spellEnd"/>
      <w:r w:rsidRPr="007D4280">
        <w:rPr>
          <w:rFonts w:ascii="Arial" w:hAnsi="Arial"/>
          <w:sz w:val="18"/>
        </w:rPr>
        <w:t xml:space="preserve"> à un prix égal à 100 % du cours moyen pondéré de clôture des actions pour les cinq jours de bourse précédant la date de versement du dividende. L’escompte de 2 % sur les actions émises de la trésorerie dans le cadre du régime a été éliminé au début de 2025. Des renseignements supplémentaires sur le régime, y compris les modalités d’inscription, se trouvent à l’adresse </w:t>
      </w:r>
      <w:hyperlink r:id="rId23" w:tgtFrame="_blank" w:history="1">
        <w:r w:rsidRPr="007D4280">
          <w:rPr>
            <w:rStyle w:val="Hyperlink"/>
            <w:rFonts w:ascii="Arial" w:hAnsi="Arial"/>
            <w:sz w:val="18"/>
          </w:rPr>
          <w:t>https://www.mapleleaffoods.com/fr/</w:t>
        </w:r>
      </w:hyperlink>
      <w:r w:rsidRPr="007D4280">
        <w:rPr>
          <w:rFonts w:ascii="Arial" w:hAnsi="Arial"/>
          <w:sz w:val="18"/>
        </w:rPr>
        <w:t xml:space="preserve">.  </w:t>
      </w:r>
    </w:p>
    <w:p w14:paraId="1D9176B7" w14:textId="77777777" w:rsidR="00695197" w:rsidRPr="007D4280" w:rsidRDefault="00152032" w:rsidP="00E72EC2">
      <w:pPr>
        <w:pStyle w:val="AIF-Level2"/>
        <w:outlineLvl w:val="1"/>
      </w:pPr>
      <w:bookmarkStart w:id="53" w:name="_Toc226985988"/>
      <w:r w:rsidRPr="007D4280">
        <w:t>Évolution des dividendes</w:t>
      </w:r>
      <w:bookmarkEnd w:id="53"/>
    </w:p>
    <w:p w14:paraId="3B70325E" w14:textId="13935554" w:rsidR="00B448C6" w:rsidRPr="007D4280" w:rsidRDefault="00152032" w:rsidP="00B448C6">
      <w:pPr>
        <w:spacing w:after="120" w:line="300" w:lineRule="auto"/>
        <w:rPr>
          <w:rFonts w:ascii="Arial" w:eastAsia="Arial" w:hAnsi="Arial" w:cs="Arial"/>
          <w:sz w:val="18"/>
        </w:rPr>
      </w:pPr>
      <w:bookmarkStart w:id="54" w:name="_Toc57819269"/>
      <w:bookmarkEnd w:id="50"/>
      <w:r w:rsidRPr="007D4280">
        <w:rPr>
          <w:rFonts w:ascii="Arial" w:hAnsi="Arial"/>
          <w:sz w:val="18"/>
        </w:rPr>
        <w:t>Le 8 mars 2023, le Conseil a augmenté le dividende trimestriel le faisant passer à 0,21 $ par action ordinaire (0,84 $ par année); l’augmentation est entrée en vigueur pour le versement du 31 mars 2023.</w:t>
      </w:r>
    </w:p>
    <w:p w14:paraId="5A491052" w14:textId="163D461E" w:rsidR="00B448C6" w:rsidRPr="007D4280" w:rsidRDefault="00152032" w:rsidP="00B448C6">
      <w:pPr>
        <w:spacing w:after="120" w:line="300" w:lineRule="auto"/>
        <w:rPr>
          <w:rFonts w:ascii="Arial" w:eastAsia="Arial" w:hAnsi="Arial" w:cs="Arial"/>
          <w:sz w:val="18"/>
        </w:rPr>
      </w:pPr>
      <w:r w:rsidRPr="007D4280">
        <w:rPr>
          <w:rFonts w:ascii="Arial" w:hAnsi="Arial"/>
          <w:sz w:val="18"/>
        </w:rPr>
        <w:t>Le 21 février 2024, le Conseil a augmenté le dividende trimestriel le faisant passer à 0,22 $ par action ordinaire (0,88 $ par année); l’augmentation est entrée en vigueur pour le versement du 28 mars 2024.</w:t>
      </w:r>
    </w:p>
    <w:p w14:paraId="40040144" w14:textId="0C7DFA1F" w:rsidR="00B448C6" w:rsidRPr="007D4280" w:rsidRDefault="00152032" w:rsidP="00B448C6">
      <w:pPr>
        <w:spacing w:after="120" w:line="300" w:lineRule="auto"/>
        <w:rPr>
          <w:rFonts w:ascii="Arial" w:eastAsia="Arial" w:hAnsi="Arial" w:cs="Arial"/>
          <w:sz w:val="18"/>
        </w:rPr>
      </w:pPr>
      <w:r w:rsidRPr="007D4280">
        <w:rPr>
          <w:rFonts w:ascii="Arial" w:hAnsi="Arial"/>
          <w:sz w:val="18"/>
        </w:rPr>
        <w:t>Le 9 janvier 2025, le Conseil a augmenté le dividende trimestriel le faisant passer à 0,24 $ par action ordinaire (0,96 $ par année); l’augmentation est entrée en vigueur pour le versement du 31 mars 2025.</w:t>
      </w:r>
    </w:p>
    <w:p w14:paraId="37334210" w14:textId="7FCFAD4D" w:rsidR="00C14E97" w:rsidRPr="007D4280" w:rsidRDefault="00C14E97" w:rsidP="00C14E97">
      <w:pPr>
        <w:spacing w:after="120" w:line="300" w:lineRule="auto"/>
        <w:rPr>
          <w:rFonts w:ascii="Arial" w:eastAsia="Arial" w:hAnsi="Arial" w:cs="Arial"/>
          <w:sz w:val="18"/>
        </w:rPr>
      </w:pPr>
      <w:r w:rsidRPr="007D4280">
        <w:rPr>
          <w:rFonts w:ascii="Arial" w:hAnsi="Arial"/>
          <w:sz w:val="18"/>
        </w:rPr>
        <w:t>En décembre 2025, le dividende trimestriel a été ramené à 0,19 $ à la suite de la Scission des activités porcines de la Société et de la nouvelle répartition des montants des dividendes entre les deux sociétés. </w:t>
      </w:r>
    </w:p>
    <w:p w14:paraId="3C6E7B76" w14:textId="01CF9E01" w:rsidR="00EA76A3" w:rsidRPr="007D4280" w:rsidRDefault="00152032" w:rsidP="00B448C6">
      <w:pPr>
        <w:spacing w:after="120" w:line="300" w:lineRule="auto"/>
        <w:rPr>
          <w:rFonts w:ascii="Arial" w:eastAsia="Arial" w:hAnsi="Arial" w:cs="Arial"/>
          <w:sz w:val="18"/>
        </w:rPr>
      </w:pPr>
      <w:r w:rsidRPr="007D4280">
        <w:rPr>
          <w:rFonts w:ascii="Arial" w:hAnsi="Arial"/>
          <w:sz w:val="18"/>
        </w:rPr>
        <w:t>Le 8 décembre 2025, le Conseil a approuvé le versement d’un dividende spécial en espèces de 0,60 $ par action ordinaire, payable le 19 décembre 2025.</w:t>
      </w:r>
    </w:p>
    <w:p w14:paraId="024733B3" w14:textId="248A5D8B" w:rsidR="00EA76A3" w:rsidRPr="007D4280" w:rsidRDefault="00152032" w:rsidP="00D34F00">
      <w:pPr>
        <w:rPr>
          <w:rFonts w:ascii="Arial" w:eastAsia="Arial" w:hAnsi="Arial" w:cs="Arial"/>
          <w:sz w:val="18"/>
        </w:rPr>
      </w:pPr>
      <w:r w:rsidRPr="007D4280">
        <w:rPr>
          <w:rFonts w:ascii="Arial" w:hAnsi="Arial"/>
          <w:sz w:val="18"/>
        </w:rPr>
        <w:t>En janvier 2026, à la suite de l’examen de la situation financière de la Société, le Conseil a fait passer le dividende trimestriel à 0,21 $ par action ordinaire (0,84 $ par année), à compter du dividende payable le 31 mars 2026 aux actionnaires inscrits en date du 9 mars 2026.</w:t>
      </w:r>
    </w:p>
    <w:p w14:paraId="53FAFB62" w14:textId="5434F97F" w:rsidR="00B448C6" w:rsidRPr="007D4280" w:rsidRDefault="00152032" w:rsidP="00B448C6">
      <w:pPr>
        <w:keepNext/>
        <w:spacing w:after="120" w:line="300" w:lineRule="auto"/>
        <w:rPr>
          <w:rFonts w:ascii="Arial" w:eastAsia="Arial" w:hAnsi="Arial" w:cs="Arial"/>
          <w:sz w:val="18"/>
        </w:rPr>
      </w:pPr>
      <w:bookmarkStart w:id="55" w:name="_Hlk158708803"/>
      <w:r w:rsidRPr="007D4280">
        <w:rPr>
          <w:rFonts w:ascii="Arial" w:hAnsi="Arial"/>
          <w:sz w:val="18"/>
        </w:rPr>
        <w:t>Le tableau ci-dessous indique le dividende déclaré par action ordinaire pour les trois derniers exercices clos et pour le premier trimestre de l’exercice en cours :</w:t>
      </w:r>
    </w:p>
    <w:tbl>
      <w:tblPr>
        <w:tblStyle w:val="TableGrid"/>
        <w:tblW w:w="0" w:type="auto"/>
        <w:jc w:val="center"/>
        <w:tblLook w:val="04A0" w:firstRow="1" w:lastRow="0" w:firstColumn="1" w:lastColumn="0" w:noHBand="0" w:noVBand="1"/>
      </w:tblPr>
      <w:tblGrid>
        <w:gridCol w:w="3100"/>
        <w:gridCol w:w="3520"/>
      </w:tblGrid>
      <w:tr w:rsidR="001E3511" w:rsidRPr="007D4280" w14:paraId="04DA8F49" w14:textId="77777777" w:rsidTr="00C11919">
        <w:trPr>
          <w:trHeight w:val="377"/>
          <w:tblHeader/>
          <w:jc w:val="center"/>
        </w:trPr>
        <w:tc>
          <w:tcPr>
            <w:tcW w:w="3100" w:type="dxa"/>
            <w:hideMark/>
          </w:tcPr>
          <w:bookmarkEnd w:id="55"/>
          <w:p w14:paraId="5E8ACAB9" w14:textId="77777777" w:rsidR="00B448C6" w:rsidRPr="007D4280" w:rsidRDefault="00152032" w:rsidP="00C11919">
            <w:pPr>
              <w:jc w:val="center"/>
              <w:rPr>
                <w:rFonts w:ascii="Arial" w:hAnsi="Arial" w:cs="Arial"/>
                <w:b/>
                <w:bCs/>
                <w:sz w:val="16"/>
                <w:szCs w:val="16"/>
              </w:rPr>
            </w:pPr>
            <w:r w:rsidRPr="007D4280">
              <w:rPr>
                <w:rFonts w:ascii="Arial" w:hAnsi="Arial"/>
                <w:b/>
                <w:sz w:val="16"/>
              </w:rPr>
              <w:t>Date de déclaration</w:t>
            </w:r>
          </w:p>
          <w:p w14:paraId="0D8FF92C" w14:textId="77777777" w:rsidR="00B448C6" w:rsidRPr="007D4280" w:rsidRDefault="00152032" w:rsidP="00C11919">
            <w:pPr>
              <w:jc w:val="center"/>
              <w:rPr>
                <w:rFonts w:ascii="Arial" w:hAnsi="Arial" w:cs="Arial"/>
                <w:b/>
                <w:bCs/>
                <w:sz w:val="16"/>
                <w:szCs w:val="16"/>
              </w:rPr>
            </w:pPr>
            <w:r w:rsidRPr="007D4280">
              <w:rPr>
                <w:rFonts w:ascii="Arial" w:hAnsi="Arial"/>
                <w:b/>
                <w:sz w:val="16"/>
              </w:rPr>
              <w:t>(</w:t>
            </w:r>
            <w:proofErr w:type="gramStart"/>
            <w:r w:rsidRPr="007D4280">
              <w:rPr>
                <w:rFonts w:ascii="Arial" w:hAnsi="Arial"/>
                <w:b/>
                <w:sz w:val="16"/>
              </w:rPr>
              <w:t>jj</w:t>
            </w:r>
            <w:proofErr w:type="gramEnd"/>
            <w:r w:rsidRPr="007D4280">
              <w:rPr>
                <w:rFonts w:ascii="Arial" w:hAnsi="Arial"/>
                <w:b/>
                <w:sz w:val="16"/>
              </w:rPr>
              <w:t>/mm/</w:t>
            </w:r>
            <w:proofErr w:type="spellStart"/>
            <w:r w:rsidRPr="007D4280">
              <w:rPr>
                <w:rFonts w:ascii="Arial" w:hAnsi="Arial"/>
                <w:b/>
                <w:sz w:val="16"/>
              </w:rPr>
              <w:t>aaaa</w:t>
            </w:r>
            <w:proofErr w:type="spellEnd"/>
            <w:r w:rsidRPr="007D4280">
              <w:rPr>
                <w:rFonts w:ascii="Arial" w:hAnsi="Arial"/>
                <w:b/>
                <w:sz w:val="16"/>
              </w:rPr>
              <w:t>)</w:t>
            </w:r>
          </w:p>
        </w:tc>
        <w:tc>
          <w:tcPr>
            <w:tcW w:w="3520" w:type="dxa"/>
            <w:hideMark/>
          </w:tcPr>
          <w:p w14:paraId="6756B7EB" w14:textId="77777777" w:rsidR="00B448C6" w:rsidRPr="007D4280" w:rsidRDefault="00152032" w:rsidP="00C11919">
            <w:pPr>
              <w:spacing w:after="160" w:line="259" w:lineRule="auto"/>
              <w:jc w:val="center"/>
              <w:rPr>
                <w:rFonts w:ascii="Arial" w:hAnsi="Arial" w:cs="Arial"/>
                <w:b/>
                <w:bCs/>
                <w:sz w:val="16"/>
                <w:szCs w:val="16"/>
              </w:rPr>
            </w:pPr>
            <w:r w:rsidRPr="007D4280">
              <w:rPr>
                <w:rFonts w:ascii="Arial" w:hAnsi="Arial"/>
                <w:b/>
                <w:sz w:val="16"/>
              </w:rPr>
              <w:t>Montant du dividende</w:t>
            </w:r>
          </w:p>
        </w:tc>
      </w:tr>
      <w:tr w:rsidR="001E3511" w:rsidRPr="007D4280" w14:paraId="3AA44E2A" w14:textId="77777777" w:rsidTr="00C11919">
        <w:trPr>
          <w:trHeight w:val="288"/>
          <w:tblHeader/>
          <w:jc w:val="center"/>
        </w:trPr>
        <w:tc>
          <w:tcPr>
            <w:tcW w:w="3100" w:type="dxa"/>
            <w:vAlign w:val="center"/>
          </w:tcPr>
          <w:p w14:paraId="12743346" w14:textId="4038FDBB" w:rsidR="00EA76A3" w:rsidRPr="007D4280" w:rsidRDefault="00DD367A" w:rsidP="00C11919">
            <w:pPr>
              <w:spacing w:after="160" w:line="259" w:lineRule="auto"/>
              <w:jc w:val="center"/>
              <w:rPr>
                <w:rFonts w:asciiTheme="minorHAnsi" w:eastAsia="Arial" w:hAnsiTheme="minorHAnsi" w:cstheme="minorHAnsi"/>
              </w:rPr>
            </w:pPr>
            <w:r w:rsidRPr="007D4280">
              <w:rPr>
                <w:rStyle w:val="Prompt"/>
                <w:rFonts w:asciiTheme="minorHAnsi" w:hAnsiTheme="minorHAnsi"/>
                <w:color w:val="auto"/>
              </w:rPr>
              <w:t>12/01/2026</w:t>
            </w:r>
          </w:p>
        </w:tc>
        <w:tc>
          <w:tcPr>
            <w:tcW w:w="3520" w:type="dxa"/>
            <w:vAlign w:val="center"/>
          </w:tcPr>
          <w:p w14:paraId="0EDFCC11" w14:textId="4A2C8276" w:rsidR="00EA76A3" w:rsidRPr="007D4280" w:rsidRDefault="00152032" w:rsidP="00C11919">
            <w:pPr>
              <w:spacing w:after="160" w:line="259" w:lineRule="auto"/>
              <w:jc w:val="center"/>
              <w:rPr>
                <w:rFonts w:ascii="Arial" w:hAnsi="Arial" w:cs="Arial"/>
                <w:sz w:val="16"/>
                <w:szCs w:val="16"/>
              </w:rPr>
            </w:pPr>
            <w:r w:rsidRPr="007D4280">
              <w:rPr>
                <w:rFonts w:ascii="Arial" w:hAnsi="Arial"/>
                <w:sz w:val="16"/>
              </w:rPr>
              <w:t>0,21</w:t>
            </w:r>
          </w:p>
        </w:tc>
      </w:tr>
      <w:tr w:rsidR="001E3511" w:rsidRPr="007D4280" w14:paraId="4BB700F8" w14:textId="77777777" w:rsidTr="00C11919">
        <w:trPr>
          <w:trHeight w:val="288"/>
          <w:tblHeader/>
          <w:jc w:val="center"/>
        </w:trPr>
        <w:tc>
          <w:tcPr>
            <w:tcW w:w="3100" w:type="dxa"/>
            <w:vAlign w:val="center"/>
          </w:tcPr>
          <w:p w14:paraId="4FB79FFC" w14:textId="77777777" w:rsidR="00B448C6" w:rsidRPr="007D4280" w:rsidRDefault="00152032" w:rsidP="00C11919">
            <w:pPr>
              <w:spacing w:after="160" w:line="259" w:lineRule="auto"/>
              <w:jc w:val="center"/>
              <w:rPr>
                <w:rFonts w:ascii="Arial" w:hAnsi="Arial" w:cs="Arial"/>
                <w:sz w:val="16"/>
                <w:szCs w:val="16"/>
              </w:rPr>
            </w:pPr>
            <w:r w:rsidRPr="007D4280">
              <w:rPr>
                <w:rFonts w:ascii="Arial" w:hAnsi="Arial"/>
                <w:sz w:val="16"/>
              </w:rPr>
              <w:t>08/12/2025</w:t>
            </w:r>
          </w:p>
        </w:tc>
        <w:tc>
          <w:tcPr>
            <w:tcW w:w="3520" w:type="dxa"/>
            <w:vAlign w:val="center"/>
          </w:tcPr>
          <w:p w14:paraId="528176CA" w14:textId="77777777" w:rsidR="00B448C6" w:rsidRPr="007D4280" w:rsidRDefault="00152032" w:rsidP="00C11919">
            <w:pPr>
              <w:spacing w:after="160" w:line="259" w:lineRule="auto"/>
              <w:jc w:val="center"/>
              <w:rPr>
                <w:rFonts w:ascii="Arial" w:hAnsi="Arial" w:cs="Arial"/>
                <w:sz w:val="16"/>
                <w:szCs w:val="16"/>
              </w:rPr>
            </w:pPr>
            <w:r w:rsidRPr="007D4280">
              <w:rPr>
                <w:rFonts w:ascii="Arial" w:hAnsi="Arial"/>
                <w:sz w:val="16"/>
              </w:rPr>
              <w:t>0,60</w:t>
            </w:r>
          </w:p>
        </w:tc>
      </w:tr>
      <w:tr w:rsidR="001E3511" w:rsidRPr="007D4280" w14:paraId="4D775FDA" w14:textId="77777777" w:rsidTr="00C11919">
        <w:trPr>
          <w:trHeight w:val="288"/>
          <w:tblHeader/>
          <w:jc w:val="center"/>
        </w:trPr>
        <w:tc>
          <w:tcPr>
            <w:tcW w:w="3100" w:type="dxa"/>
            <w:vAlign w:val="center"/>
          </w:tcPr>
          <w:p w14:paraId="46ACFEEA" w14:textId="77777777" w:rsidR="00B448C6" w:rsidRPr="007D4280" w:rsidRDefault="00152032" w:rsidP="00C11919">
            <w:pPr>
              <w:spacing w:after="160" w:line="259" w:lineRule="auto"/>
              <w:jc w:val="center"/>
              <w:rPr>
                <w:rFonts w:ascii="Arial" w:hAnsi="Arial" w:cs="Arial"/>
                <w:sz w:val="16"/>
                <w:szCs w:val="16"/>
              </w:rPr>
            </w:pPr>
            <w:r w:rsidRPr="007D4280">
              <w:rPr>
                <w:rFonts w:ascii="Arial" w:hAnsi="Arial"/>
                <w:sz w:val="16"/>
              </w:rPr>
              <w:t>04/11/2025</w:t>
            </w:r>
          </w:p>
        </w:tc>
        <w:tc>
          <w:tcPr>
            <w:tcW w:w="3520" w:type="dxa"/>
            <w:vAlign w:val="center"/>
          </w:tcPr>
          <w:p w14:paraId="75BC2228" w14:textId="77777777" w:rsidR="00B448C6" w:rsidRPr="007D4280" w:rsidRDefault="00152032" w:rsidP="00C11919">
            <w:pPr>
              <w:spacing w:after="160" w:line="259" w:lineRule="auto"/>
              <w:jc w:val="center"/>
              <w:rPr>
                <w:rFonts w:ascii="Arial" w:hAnsi="Arial" w:cs="Arial"/>
                <w:sz w:val="16"/>
                <w:szCs w:val="16"/>
              </w:rPr>
            </w:pPr>
            <w:r w:rsidRPr="007D4280">
              <w:rPr>
                <w:rFonts w:ascii="Arial" w:hAnsi="Arial"/>
                <w:sz w:val="16"/>
              </w:rPr>
              <w:t>0,19</w:t>
            </w:r>
          </w:p>
        </w:tc>
      </w:tr>
      <w:tr w:rsidR="001E3511" w:rsidRPr="007D4280" w14:paraId="1FA76E78" w14:textId="77777777" w:rsidTr="00C11919">
        <w:trPr>
          <w:trHeight w:val="288"/>
          <w:tblHeader/>
          <w:jc w:val="center"/>
        </w:trPr>
        <w:tc>
          <w:tcPr>
            <w:tcW w:w="3100" w:type="dxa"/>
            <w:vAlign w:val="center"/>
          </w:tcPr>
          <w:p w14:paraId="77A509D4"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06/08/2025</w:t>
            </w:r>
          </w:p>
        </w:tc>
        <w:tc>
          <w:tcPr>
            <w:tcW w:w="3520" w:type="dxa"/>
            <w:vAlign w:val="center"/>
          </w:tcPr>
          <w:p w14:paraId="11770FD7"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0,24</w:t>
            </w:r>
          </w:p>
        </w:tc>
      </w:tr>
      <w:tr w:rsidR="001E3511" w:rsidRPr="007D4280" w14:paraId="6257E792" w14:textId="77777777" w:rsidTr="00C11919">
        <w:trPr>
          <w:trHeight w:val="288"/>
          <w:tblHeader/>
          <w:jc w:val="center"/>
        </w:trPr>
        <w:tc>
          <w:tcPr>
            <w:tcW w:w="3100" w:type="dxa"/>
            <w:vAlign w:val="center"/>
          </w:tcPr>
          <w:p w14:paraId="7545B061"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07/05/2025</w:t>
            </w:r>
          </w:p>
        </w:tc>
        <w:tc>
          <w:tcPr>
            <w:tcW w:w="3520" w:type="dxa"/>
            <w:vAlign w:val="center"/>
          </w:tcPr>
          <w:p w14:paraId="0D8C81B0"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0,24</w:t>
            </w:r>
          </w:p>
        </w:tc>
      </w:tr>
      <w:tr w:rsidR="001E3511" w:rsidRPr="007D4280" w14:paraId="0FE8C5BF" w14:textId="77777777" w:rsidTr="00C11919">
        <w:trPr>
          <w:trHeight w:val="288"/>
          <w:tblHeader/>
          <w:jc w:val="center"/>
        </w:trPr>
        <w:tc>
          <w:tcPr>
            <w:tcW w:w="3100" w:type="dxa"/>
            <w:vAlign w:val="center"/>
          </w:tcPr>
          <w:p w14:paraId="615BB370"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09/01/2025</w:t>
            </w:r>
          </w:p>
        </w:tc>
        <w:tc>
          <w:tcPr>
            <w:tcW w:w="3520" w:type="dxa"/>
            <w:vAlign w:val="center"/>
          </w:tcPr>
          <w:p w14:paraId="15FFC301"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0,24</w:t>
            </w:r>
          </w:p>
        </w:tc>
      </w:tr>
      <w:tr w:rsidR="001E3511" w:rsidRPr="007D4280" w14:paraId="5D41105F" w14:textId="77777777" w:rsidTr="00C11919">
        <w:trPr>
          <w:trHeight w:val="288"/>
          <w:tblHeader/>
          <w:jc w:val="center"/>
        </w:trPr>
        <w:tc>
          <w:tcPr>
            <w:tcW w:w="3100" w:type="dxa"/>
            <w:vAlign w:val="center"/>
          </w:tcPr>
          <w:p w14:paraId="6FF6F5B1"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12/11/2024</w:t>
            </w:r>
          </w:p>
        </w:tc>
        <w:tc>
          <w:tcPr>
            <w:tcW w:w="3520" w:type="dxa"/>
            <w:vAlign w:val="center"/>
          </w:tcPr>
          <w:p w14:paraId="703C882D"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0,22</w:t>
            </w:r>
          </w:p>
        </w:tc>
      </w:tr>
      <w:tr w:rsidR="001E3511" w:rsidRPr="007D4280" w14:paraId="0ED1D23B" w14:textId="77777777" w:rsidTr="00C11919">
        <w:trPr>
          <w:trHeight w:val="288"/>
          <w:tblHeader/>
          <w:jc w:val="center"/>
        </w:trPr>
        <w:tc>
          <w:tcPr>
            <w:tcW w:w="3100" w:type="dxa"/>
            <w:vAlign w:val="center"/>
          </w:tcPr>
          <w:p w14:paraId="241DE740"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07/08/2024</w:t>
            </w:r>
          </w:p>
        </w:tc>
        <w:tc>
          <w:tcPr>
            <w:tcW w:w="3520" w:type="dxa"/>
            <w:vAlign w:val="center"/>
          </w:tcPr>
          <w:p w14:paraId="2A3D5AD1"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0,22</w:t>
            </w:r>
          </w:p>
        </w:tc>
      </w:tr>
      <w:tr w:rsidR="001E3511" w:rsidRPr="007D4280" w14:paraId="122B7135" w14:textId="77777777" w:rsidTr="00C11919">
        <w:trPr>
          <w:trHeight w:val="288"/>
          <w:tblHeader/>
          <w:jc w:val="center"/>
        </w:trPr>
        <w:tc>
          <w:tcPr>
            <w:tcW w:w="3100" w:type="dxa"/>
            <w:vAlign w:val="center"/>
          </w:tcPr>
          <w:p w14:paraId="227ACDCB"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01/05/2024</w:t>
            </w:r>
          </w:p>
        </w:tc>
        <w:tc>
          <w:tcPr>
            <w:tcW w:w="3520" w:type="dxa"/>
            <w:vAlign w:val="center"/>
          </w:tcPr>
          <w:p w14:paraId="5C35AC9A"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0,22</w:t>
            </w:r>
          </w:p>
        </w:tc>
      </w:tr>
      <w:tr w:rsidR="001E3511" w:rsidRPr="007D4280" w14:paraId="7ED95899" w14:textId="77777777" w:rsidTr="00C11919">
        <w:trPr>
          <w:trHeight w:val="288"/>
          <w:tblHeader/>
          <w:jc w:val="center"/>
        </w:trPr>
        <w:tc>
          <w:tcPr>
            <w:tcW w:w="3100" w:type="dxa"/>
            <w:vAlign w:val="center"/>
          </w:tcPr>
          <w:p w14:paraId="27A2A8E4"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21/02/2024</w:t>
            </w:r>
          </w:p>
        </w:tc>
        <w:tc>
          <w:tcPr>
            <w:tcW w:w="3520" w:type="dxa"/>
            <w:vAlign w:val="center"/>
          </w:tcPr>
          <w:p w14:paraId="2635F3DE" w14:textId="77777777" w:rsidR="00B448C6" w:rsidRPr="007D4280" w:rsidRDefault="00152032" w:rsidP="00C11919">
            <w:pPr>
              <w:spacing w:after="160" w:line="259" w:lineRule="auto"/>
              <w:jc w:val="center"/>
              <w:rPr>
                <w:rFonts w:ascii="Arial" w:hAnsi="Arial" w:cs="Arial"/>
                <w:color w:val="000000"/>
                <w:sz w:val="16"/>
                <w:szCs w:val="16"/>
              </w:rPr>
            </w:pPr>
            <w:r w:rsidRPr="007D4280">
              <w:rPr>
                <w:rFonts w:ascii="Arial" w:hAnsi="Arial"/>
                <w:color w:val="000000"/>
                <w:sz w:val="16"/>
              </w:rPr>
              <w:t>0,22</w:t>
            </w:r>
          </w:p>
        </w:tc>
      </w:tr>
      <w:tr w:rsidR="001E3511" w:rsidRPr="007D4280" w14:paraId="727CBBFB" w14:textId="77777777" w:rsidTr="00C11919">
        <w:trPr>
          <w:trHeight w:val="288"/>
          <w:tblHeader/>
          <w:jc w:val="center"/>
        </w:trPr>
        <w:tc>
          <w:tcPr>
            <w:tcW w:w="3100" w:type="dxa"/>
            <w:vAlign w:val="center"/>
            <w:hideMark/>
          </w:tcPr>
          <w:p w14:paraId="7328D453"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01/11/2023</w:t>
            </w:r>
          </w:p>
        </w:tc>
        <w:tc>
          <w:tcPr>
            <w:tcW w:w="3520" w:type="dxa"/>
            <w:vAlign w:val="center"/>
            <w:hideMark/>
          </w:tcPr>
          <w:p w14:paraId="00665FFA"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0,21</w:t>
            </w:r>
          </w:p>
        </w:tc>
      </w:tr>
      <w:tr w:rsidR="001E3511" w:rsidRPr="007D4280" w14:paraId="68394CFE" w14:textId="77777777" w:rsidTr="00C11919">
        <w:trPr>
          <w:trHeight w:val="288"/>
          <w:tblHeader/>
          <w:jc w:val="center"/>
        </w:trPr>
        <w:tc>
          <w:tcPr>
            <w:tcW w:w="3100" w:type="dxa"/>
            <w:vAlign w:val="center"/>
            <w:hideMark/>
          </w:tcPr>
          <w:p w14:paraId="364474F0"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02/08/2023</w:t>
            </w:r>
          </w:p>
        </w:tc>
        <w:tc>
          <w:tcPr>
            <w:tcW w:w="3520" w:type="dxa"/>
            <w:vAlign w:val="center"/>
            <w:hideMark/>
          </w:tcPr>
          <w:p w14:paraId="7B46DA80"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0,21</w:t>
            </w:r>
          </w:p>
        </w:tc>
      </w:tr>
      <w:tr w:rsidR="001E3511" w:rsidRPr="007D4280" w14:paraId="73CE59EF" w14:textId="77777777" w:rsidTr="00C11919">
        <w:trPr>
          <w:trHeight w:val="288"/>
          <w:tblHeader/>
          <w:jc w:val="center"/>
        </w:trPr>
        <w:tc>
          <w:tcPr>
            <w:tcW w:w="3100" w:type="dxa"/>
            <w:vAlign w:val="center"/>
            <w:hideMark/>
          </w:tcPr>
          <w:p w14:paraId="794BAD12"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10/05/2023</w:t>
            </w:r>
          </w:p>
        </w:tc>
        <w:tc>
          <w:tcPr>
            <w:tcW w:w="3520" w:type="dxa"/>
            <w:vAlign w:val="center"/>
            <w:hideMark/>
          </w:tcPr>
          <w:p w14:paraId="673B94F5"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0,21</w:t>
            </w:r>
          </w:p>
        </w:tc>
      </w:tr>
      <w:tr w:rsidR="001E3511" w:rsidRPr="007D4280" w14:paraId="39D0B159" w14:textId="77777777" w:rsidTr="00C11919">
        <w:trPr>
          <w:trHeight w:val="288"/>
          <w:tblHeader/>
          <w:jc w:val="center"/>
        </w:trPr>
        <w:tc>
          <w:tcPr>
            <w:tcW w:w="3100" w:type="dxa"/>
            <w:vAlign w:val="center"/>
            <w:hideMark/>
          </w:tcPr>
          <w:p w14:paraId="4E5D2B59"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08/03/2023</w:t>
            </w:r>
          </w:p>
        </w:tc>
        <w:tc>
          <w:tcPr>
            <w:tcW w:w="3520" w:type="dxa"/>
            <w:vAlign w:val="center"/>
            <w:hideMark/>
          </w:tcPr>
          <w:p w14:paraId="6754C32E" w14:textId="77777777" w:rsidR="00B448C6" w:rsidRPr="007D4280" w:rsidRDefault="00152032" w:rsidP="00C11919">
            <w:pPr>
              <w:spacing w:after="160" w:line="259" w:lineRule="auto"/>
              <w:jc w:val="center"/>
              <w:rPr>
                <w:sz w:val="16"/>
                <w:szCs w:val="16"/>
              </w:rPr>
            </w:pPr>
            <w:r w:rsidRPr="007D4280">
              <w:rPr>
                <w:rFonts w:ascii="Arial" w:hAnsi="Arial"/>
                <w:color w:val="000000"/>
                <w:sz w:val="16"/>
              </w:rPr>
              <w:t>0,21</w:t>
            </w:r>
          </w:p>
        </w:tc>
      </w:tr>
    </w:tbl>
    <w:p w14:paraId="2A152D7A" w14:textId="77777777" w:rsidR="00B448C6" w:rsidRPr="007D4280" w:rsidRDefault="00B448C6" w:rsidP="00B448C6">
      <w:pPr>
        <w:spacing w:after="120" w:line="300" w:lineRule="auto"/>
        <w:rPr>
          <w:rFonts w:ascii="Arial" w:eastAsia="Arial" w:hAnsi="Arial" w:cs="Arial"/>
          <w:sz w:val="18"/>
        </w:rPr>
      </w:pPr>
    </w:p>
    <w:p w14:paraId="6B182F78" w14:textId="6DB2CDA8" w:rsidR="00AE3590" w:rsidRPr="007D4280" w:rsidRDefault="00152032" w:rsidP="00AE3590">
      <w:pPr>
        <w:pStyle w:val="AIF-Level1"/>
        <w:outlineLvl w:val="0"/>
      </w:pPr>
      <w:bookmarkStart w:id="56" w:name="_Toc226985989"/>
      <w:r w:rsidRPr="007D4280">
        <w:t>MARCHÉ POUR LA NÉGOCIATION DES TITRES</w:t>
      </w:r>
      <w:bookmarkEnd w:id="54"/>
      <w:bookmarkEnd w:id="56"/>
    </w:p>
    <w:p w14:paraId="093659D0" w14:textId="0484812C" w:rsidR="00A455EB" w:rsidRPr="007D4280" w:rsidRDefault="00152032" w:rsidP="00A73D25">
      <w:pPr>
        <w:spacing w:after="120" w:line="300" w:lineRule="auto"/>
        <w:rPr>
          <w:rFonts w:ascii="Arial" w:eastAsia="Arial" w:hAnsi="Arial" w:cs="Arial"/>
          <w:sz w:val="18"/>
        </w:rPr>
      </w:pPr>
      <w:r w:rsidRPr="007D4280">
        <w:rPr>
          <w:rFonts w:ascii="Arial" w:hAnsi="Arial"/>
          <w:sz w:val="18"/>
        </w:rPr>
        <w:t>Les actions ordinaires de la Société sont inscrites à la Bourse de Toronto (TSX) sous le symbole boursier « MFI ». Elles sont également inscrites à d’autres marchés boursiers canadiens. C’est à la Bourse de Toronto (TSX) que s’enregistre le plus gros volume de transactions sur les actions de la Société. Le tableau ci-dessous indique la variation du cours (cours de clôture le plus élevé et le plus bas) et le volume de négociation des actions ordinaires à la TSX pour chaque mois du dernier exercice.</w:t>
      </w:r>
    </w:p>
    <w:tbl>
      <w:tblPr>
        <w:tblStyle w:val="TableGrid"/>
        <w:tblpPr w:leftFromText="180" w:rightFromText="180" w:vertAnchor="text" w:horzAnchor="page" w:tblpX="2627"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440"/>
        <w:gridCol w:w="1260"/>
        <w:gridCol w:w="1800"/>
      </w:tblGrid>
      <w:tr w:rsidR="001E3511" w:rsidRPr="007D4280" w14:paraId="4A8C6CFE" w14:textId="77777777" w:rsidTr="0062153C">
        <w:trPr>
          <w:trHeight w:val="405"/>
        </w:trPr>
        <w:tc>
          <w:tcPr>
            <w:tcW w:w="2605" w:type="dxa"/>
            <w:tcBorders>
              <w:top w:val="single" w:sz="4" w:space="0" w:color="auto"/>
              <w:bottom w:val="single" w:sz="4" w:space="0" w:color="auto"/>
            </w:tcBorders>
            <w:hideMark/>
          </w:tcPr>
          <w:p w14:paraId="6B6D2250" w14:textId="3FA4E8E9" w:rsidR="00A73D25" w:rsidRPr="007D4280" w:rsidRDefault="00152032" w:rsidP="0062153C">
            <w:pPr>
              <w:spacing w:after="120" w:line="300" w:lineRule="auto"/>
              <w:rPr>
                <w:rFonts w:ascii="Arial" w:eastAsia="Arial" w:hAnsi="Arial" w:cs="Arial"/>
                <w:b/>
                <w:bCs/>
                <w:sz w:val="18"/>
              </w:rPr>
            </w:pPr>
            <w:r w:rsidRPr="007D4280">
              <w:rPr>
                <w:rFonts w:ascii="Arial" w:hAnsi="Arial"/>
                <w:b/>
                <w:sz w:val="18"/>
              </w:rPr>
              <w:t>Mois (2025)</w:t>
            </w:r>
          </w:p>
        </w:tc>
        <w:tc>
          <w:tcPr>
            <w:tcW w:w="1440" w:type="dxa"/>
            <w:tcBorders>
              <w:top w:val="single" w:sz="4" w:space="0" w:color="auto"/>
              <w:bottom w:val="single" w:sz="4" w:space="0" w:color="auto"/>
            </w:tcBorders>
            <w:hideMark/>
          </w:tcPr>
          <w:p w14:paraId="54CA5278" w14:textId="77777777" w:rsidR="00A73D25" w:rsidRPr="007D4280" w:rsidRDefault="00152032" w:rsidP="0062153C">
            <w:pPr>
              <w:spacing w:after="120" w:line="300" w:lineRule="auto"/>
              <w:rPr>
                <w:rFonts w:ascii="Arial" w:eastAsia="Arial" w:hAnsi="Arial" w:cs="Arial"/>
                <w:b/>
                <w:bCs/>
                <w:sz w:val="18"/>
              </w:rPr>
            </w:pPr>
            <w:r w:rsidRPr="007D4280">
              <w:rPr>
                <w:rFonts w:ascii="Arial" w:hAnsi="Arial"/>
                <w:b/>
                <w:sz w:val="18"/>
              </w:rPr>
              <w:t>Haut</w:t>
            </w:r>
          </w:p>
        </w:tc>
        <w:tc>
          <w:tcPr>
            <w:tcW w:w="1260" w:type="dxa"/>
            <w:tcBorders>
              <w:top w:val="single" w:sz="4" w:space="0" w:color="auto"/>
              <w:bottom w:val="single" w:sz="4" w:space="0" w:color="auto"/>
            </w:tcBorders>
            <w:hideMark/>
          </w:tcPr>
          <w:p w14:paraId="70CAA5B9" w14:textId="77777777" w:rsidR="00A73D25" w:rsidRPr="007D4280" w:rsidRDefault="00152032" w:rsidP="0062153C">
            <w:pPr>
              <w:spacing w:after="120" w:line="300" w:lineRule="auto"/>
              <w:rPr>
                <w:rFonts w:ascii="Arial" w:eastAsia="Arial" w:hAnsi="Arial" w:cs="Arial"/>
                <w:b/>
                <w:bCs/>
                <w:sz w:val="18"/>
              </w:rPr>
            </w:pPr>
            <w:r w:rsidRPr="007D4280">
              <w:rPr>
                <w:rFonts w:ascii="Arial" w:hAnsi="Arial"/>
                <w:b/>
                <w:sz w:val="18"/>
              </w:rPr>
              <w:t>Bas</w:t>
            </w:r>
          </w:p>
        </w:tc>
        <w:tc>
          <w:tcPr>
            <w:tcW w:w="1800" w:type="dxa"/>
            <w:tcBorders>
              <w:top w:val="single" w:sz="4" w:space="0" w:color="auto"/>
              <w:bottom w:val="single" w:sz="4" w:space="0" w:color="auto"/>
            </w:tcBorders>
            <w:hideMark/>
          </w:tcPr>
          <w:p w14:paraId="2944AC22" w14:textId="77777777" w:rsidR="00A73D25" w:rsidRPr="007D4280" w:rsidRDefault="00152032" w:rsidP="0062153C">
            <w:pPr>
              <w:spacing w:after="120" w:line="300" w:lineRule="auto"/>
              <w:rPr>
                <w:rFonts w:ascii="Arial" w:eastAsia="Arial" w:hAnsi="Arial" w:cs="Arial"/>
                <w:b/>
                <w:bCs/>
                <w:sz w:val="18"/>
              </w:rPr>
            </w:pPr>
            <w:r w:rsidRPr="007D4280">
              <w:rPr>
                <w:rFonts w:ascii="Arial" w:hAnsi="Arial"/>
                <w:b/>
                <w:sz w:val="18"/>
              </w:rPr>
              <w:t>Volume</w:t>
            </w:r>
          </w:p>
        </w:tc>
      </w:tr>
      <w:tr w:rsidR="001E3511" w:rsidRPr="007D4280" w14:paraId="5233C5DD" w14:textId="77777777" w:rsidTr="00190C75">
        <w:trPr>
          <w:trHeight w:val="405"/>
        </w:trPr>
        <w:tc>
          <w:tcPr>
            <w:tcW w:w="2605" w:type="dxa"/>
            <w:tcBorders>
              <w:top w:val="single" w:sz="4" w:space="0" w:color="auto"/>
            </w:tcBorders>
          </w:tcPr>
          <w:p w14:paraId="083E218C"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Décembre</w:t>
            </w:r>
          </w:p>
        </w:tc>
        <w:tc>
          <w:tcPr>
            <w:tcW w:w="1440" w:type="dxa"/>
            <w:tcBorders>
              <w:top w:val="single" w:sz="4" w:space="0" w:color="auto"/>
            </w:tcBorders>
          </w:tcPr>
          <w:p w14:paraId="5299A018" w14:textId="348816AD" w:rsidR="00B02111" w:rsidRPr="007D4280" w:rsidRDefault="00152032" w:rsidP="00B02111">
            <w:pPr>
              <w:spacing w:after="120" w:line="300" w:lineRule="auto"/>
              <w:rPr>
                <w:rFonts w:ascii="Arial" w:eastAsia="Arial" w:hAnsi="Arial" w:cs="Arial"/>
                <w:sz w:val="18"/>
              </w:rPr>
            </w:pPr>
            <w:r w:rsidRPr="007D4280">
              <w:rPr>
                <w:rFonts w:ascii="Arial" w:hAnsi="Arial"/>
                <w:sz w:val="18"/>
              </w:rPr>
              <w:t>26,70</w:t>
            </w:r>
          </w:p>
        </w:tc>
        <w:tc>
          <w:tcPr>
            <w:tcW w:w="1260" w:type="dxa"/>
            <w:tcBorders>
              <w:top w:val="single" w:sz="4" w:space="0" w:color="auto"/>
            </w:tcBorders>
          </w:tcPr>
          <w:p w14:paraId="6A9FA750" w14:textId="57CA275D" w:rsidR="00B02111" w:rsidRPr="007D4280" w:rsidRDefault="00152032" w:rsidP="00B02111">
            <w:pPr>
              <w:spacing w:after="120" w:line="300" w:lineRule="auto"/>
              <w:rPr>
                <w:rFonts w:ascii="Arial" w:eastAsia="Arial" w:hAnsi="Arial" w:cs="Arial"/>
                <w:sz w:val="18"/>
              </w:rPr>
            </w:pPr>
            <w:r w:rsidRPr="007D4280">
              <w:rPr>
                <w:rFonts w:ascii="Arial" w:hAnsi="Arial"/>
                <w:sz w:val="18"/>
              </w:rPr>
              <w:t>24,37</w:t>
            </w:r>
          </w:p>
        </w:tc>
        <w:tc>
          <w:tcPr>
            <w:tcW w:w="1800" w:type="dxa"/>
            <w:tcBorders>
              <w:top w:val="single" w:sz="4" w:space="0" w:color="auto"/>
            </w:tcBorders>
          </w:tcPr>
          <w:p w14:paraId="09E285CD" w14:textId="0154F59A" w:rsidR="00B02111" w:rsidRPr="007D4280" w:rsidRDefault="00152032" w:rsidP="00B02111">
            <w:pPr>
              <w:spacing w:after="120" w:line="300" w:lineRule="auto"/>
              <w:rPr>
                <w:rFonts w:ascii="Arial" w:eastAsia="Arial" w:hAnsi="Arial" w:cs="Arial"/>
                <w:sz w:val="18"/>
              </w:rPr>
            </w:pPr>
            <w:r w:rsidRPr="007D4280">
              <w:rPr>
                <w:rFonts w:ascii="Arial" w:hAnsi="Arial"/>
                <w:sz w:val="18"/>
              </w:rPr>
              <w:t>7 212 926</w:t>
            </w:r>
          </w:p>
        </w:tc>
      </w:tr>
      <w:tr w:rsidR="001E3511" w:rsidRPr="007D4280" w14:paraId="3DB76FD6" w14:textId="77777777" w:rsidTr="00DB2A2A">
        <w:trPr>
          <w:trHeight w:val="300"/>
        </w:trPr>
        <w:tc>
          <w:tcPr>
            <w:tcW w:w="2605" w:type="dxa"/>
            <w:hideMark/>
          </w:tcPr>
          <w:p w14:paraId="273A9890"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Novembre</w:t>
            </w:r>
          </w:p>
        </w:tc>
        <w:tc>
          <w:tcPr>
            <w:tcW w:w="1440" w:type="dxa"/>
            <w:shd w:val="clear" w:color="auto" w:fill="FFFFFF" w:themeFill="background1"/>
          </w:tcPr>
          <w:p w14:paraId="0DFB87A9" w14:textId="335ECE1E" w:rsidR="00B02111" w:rsidRPr="007D4280" w:rsidRDefault="00152032" w:rsidP="00B02111">
            <w:pPr>
              <w:spacing w:after="120" w:line="300" w:lineRule="auto"/>
              <w:rPr>
                <w:rFonts w:ascii="Arial" w:eastAsia="Arial" w:hAnsi="Arial" w:cs="Arial"/>
                <w:sz w:val="18"/>
              </w:rPr>
            </w:pPr>
            <w:r w:rsidRPr="007D4280">
              <w:rPr>
                <w:rFonts w:ascii="Arial" w:hAnsi="Arial"/>
                <w:sz w:val="18"/>
              </w:rPr>
              <w:t>26,98</w:t>
            </w:r>
          </w:p>
        </w:tc>
        <w:tc>
          <w:tcPr>
            <w:tcW w:w="1260" w:type="dxa"/>
            <w:shd w:val="clear" w:color="auto" w:fill="FFFFFF" w:themeFill="background1"/>
          </w:tcPr>
          <w:p w14:paraId="05900C7B" w14:textId="57161F14" w:rsidR="00B02111" w:rsidRPr="007D4280" w:rsidRDefault="00152032" w:rsidP="00B02111">
            <w:pPr>
              <w:spacing w:after="120" w:line="300" w:lineRule="auto"/>
              <w:rPr>
                <w:rFonts w:ascii="Arial" w:eastAsia="Arial" w:hAnsi="Arial" w:cs="Arial"/>
                <w:sz w:val="18"/>
              </w:rPr>
            </w:pPr>
            <w:r w:rsidRPr="007D4280">
              <w:rPr>
                <w:rFonts w:ascii="Arial" w:hAnsi="Arial"/>
                <w:sz w:val="18"/>
              </w:rPr>
              <w:t>23,35</w:t>
            </w:r>
          </w:p>
        </w:tc>
        <w:tc>
          <w:tcPr>
            <w:tcW w:w="1800" w:type="dxa"/>
            <w:shd w:val="clear" w:color="auto" w:fill="FFFFFF" w:themeFill="background1"/>
          </w:tcPr>
          <w:p w14:paraId="023B7300" w14:textId="06B320DE" w:rsidR="00B02111" w:rsidRPr="007D4280" w:rsidRDefault="00152032" w:rsidP="00B02111">
            <w:pPr>
              <w:spacing w:after="120" w:line="300" w:lineRule="auto"/>
              <w:rPr>
                <w:rFonts w:ascii="Arial" w:eastAsia="Arial" w:hAnsi="Arial" w:cs="Arial"/>
                <w:sz w:val="18"/>
              </w:rPr>
            </w:pPr>
            <w:r w:rsidRPr="007D4280">
              <w:rPr>
                <w:rFonts w:ascii="Arial" w:hAnsi="Arial"/>
                <w:sz w:val="18"/>
              </w:rPr>
              <w:t>7 601 297</w:t>
            </w:r>
          </w:p>
        </w:tc>
      </w:tr>
      <w:tr w:rsidR="001E3511" w:rsidRPr="007D4280" w14:paraId="42E1017C" w14:textId="77777777" w:rsidTr="00DB4280">
        <w:trPr>
          <w:trHeight w:val="300"/>
        </w:trPr>
        <w:tc>
          <w:tcPr>
            <w:tcW w:w="2605" w:type="dxa"/>
            <w:hideMark/>
          </w:tcPr>
          <w:p w14:paraId="414A3E5C"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Octobre</w:t>
            </w:r>
          </w:p>
        </w:tc>
        <w:tc>
          <w:tcPr>
            <w:tcW w:w="1440" w:type="dxa"/>
          </w:tcPr>
          <w:p w14:paraId="58472331" w14:textId="2DD34111" w:rsidR="00B02111" w:rsidRPr="007D4280" w:rsidRDefault="00152032" w:rsidP="00B02111">
            <w:pPr>
              <w:spacing w:after="120" w:line="300" w:lineRule="auto"/>
              <w:rPr>
                <w:rFonts w:ascii="Arial" w:eastAsia="Arial" w:hAnsi="Arial" w:cs="Arial"/>
                <w:sz w:val="18"/>
              </w:rPr>
            </w:pPr>
            <w:r w:rsidRPr="007D4280">
              <w:rPr>
                <w:rFonts w:ascii="Arial" w:hAnsi="Arial"/>
                <w:sz w:val="18"/>
              </w:rPr>
              <w:t>36,01</w:t>
            </w:r>
          </w:p>
        </w:tc>
        <w:tc>
          <w:tcPr>
            <w:tcW w:w="1260" w:type="dxa"/>
          </w:tcPr>
          <w:p w14:paraId="3C1DEB7D" w14:textId="1C73F9F3" w:rsidR="00B02111" w:rsidRPr="007D4280" w:rsidRDefault="00152032" w:rsidP="00B02111">
            <w:pPr>
              <w:spacing w:after="120" w:line="300" w:lineRule="auto"/>
              <w:rPr>
                <w:rFonts w:ascii="Arial" w:eastAsia="Arial" w:hAnsi="Arial" w:cs="Arial"/>
                <w:sz w:val="18"/>
              </w:rPr>
            </w:pPr>
            <w:r w:rsidRPr="007D4280">
              <w:rPr>
                <w:rFonts w:ascii="Arial" w:hAnsi="Arial"/>
                <w:sz w:val="18"/>
              </w:rPr>
              <w:t>26,72</w:t>
            </w:r>
          </w:p>
        </w:tc>
        <w:tc>
          <w:tcPr>
            <w:tcW w:w="1800" w:type="dxa"/>
          </w:tcPr>
          <w:p w14:paraId="62DFE855" w14:textId="2848B1C6" w:rsidR="00B02111" w:rsidRPr="007D4280" w:rsidRDefault="00152032" w:rsidP="00B02111">
            <w:pPr>
              <w:spacing w:after="120" w:line="300" w:lineRule="auto"/>
              <w:rPr>
                <w:rFonts w:ascii="Arial" w:eastAsia="Arial" w:hAnsi="Arial" w:cs="Arial"/>
                <w:sz w:val="18"/>
              </w:rPr>
            </w:pPr>
            <w:r w:rsidRPr="007D4280">
              <w:rPr>
                <w:rFonts w:ascii="Arial" w:hAnsi="Arial"/>
                <w:sz w:val="18"/>
              </w:rPr>
              <w:t>6 738 930</w:t>
            </w:r>
          </w:p>
        </w:tc>
      </w:tr>
      <w:tr w:rsidR="001E3511" w:rsidRPr="007D4280" w14:paraId="3D828A03" w14:textId="77777777" w:rsidTr="00DB4280">
        <w:trPr>
          <w:trHeight w:val="300"/>
        </w:trPr>
        <w:tc>
          <w:tcPr>
            <w:tcW w:w="2605" w:type="dxa"/>
            <w:hideMark/>
          </w:tcPr>
          <w:p w14:paraId="4D02CE82"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Septembre</w:t>
            </w:r>
          </w:p>
        </w:tc>
        <w:tc>
          <w:tcPr>
            <w:tcW w:w="1440" w:type="dxa"/>
          </w:tcPr>
          <w:p w14:paraId="7FB9309B" w14:textId="07D8D23F" w:rsidR="00B02111" w:rsidRPr="007D4280" w:rsidRDefault="00152032" w:rsidP="00B02111">
            <w:pPr>
              <w:spacing w:after="120" w:line="300" w:lineRule="auto"/>
              <w:rPr>
                <w:rFonts w:ascii="Arial" w:eastAsia="Arial" w:hAnsi="Arial" w:cs="Arial"/>
                <w:sz w:val="18"/>
              </w:rPr>
            </w:pPr>
            <w:r w:rsidRPr="007D4280">
              <w:rPr>
                <w:rFonts w:ascii="Arial" w:hAnsi="Arial"/>
                <w:sz w:val="18"/>
              </w:rPr>
              <w:t>36,31</w:t>
            </w:r>
          </w:p>
        </w:tc>
        <w:tc>
          <w:tcPr>
            <w:tcW w:w="1260" w:type="dxa"/>
          </w:tcPr>
          <w:p w14:paraId="7E8AB346" w14:textId="24068225" w:rsidR="00B02111" w:rsidRPr="007D4280" w:rsidRDefault="00152032" w:rsidP="00B02111">
            <w:pPr>
              <w:spacing w:after="120" w:line="300" w:lineRule="auto"/>
              <w:rPr>
                <w:rFonts w:ascii="Arial" w:eastAsia="Arial" w:hAnsi="Arial" w:cs="Arial"/>
                <w:sz w:val="18"/>
              </w:rPr>
            </w:pPr>
            <w:r w:rsidRPr="007D4280">
              <w:rPr>
                <w:rFonts w:ascii="Arial" w:hAnsi="Arial"/>
                <w:sz w:val="18"/>
              </w:rPr>
              <w:t>34,47</w:t>
            </w:r>
          </w:p>
        </w:tc>
        <w:tc>
          <w:tcPr>
            <w:tcW w:w="1800" w:type="dxa"/>
          </w:tcPr>
          <w:p w14:paraId="2A0C8622" w14:textId="49DFC0F2" w:rsidR="00B02111" w:rsidRPr="007D4280" w:rsidRDefault="00152032" w:rsidP="00B02111">
            <w:pPr>
              <w:spacing w:after="120" w:line="300" w:lineRule="auto"/>
              <w:rPr>
                <w:rFonts w:ascii="Arial" w:eastAsia="Arial" w:hAnsi="Arial" w:cs="Arial"/>
                <w:sz w:val="18"/>
              </w:rPr>
            </w:pPr>
            <w:r w:rsidRPr="007D4280">
              <w:rPr>
                <w:rFonts w:ascii="Arial" w:hAnsi="Arial"/>
                <w:sz w:val="18"/>
              </w:rPr>
              <w:t>4 897 206</w:t>
            </w:r>
          </w:p>
        </w:tc>
      </w:tr>
      <w:tr w:rsidR="001E3511" w:rsidRPr="007D4280" w14:paraId="58FEE20F" w14:textId="77777777" w:rsidTr="0062153C">
        <w:trPr>
          <w:trHeight w:val="300"/>
        </w:trPr>
        <w:tc>
          <w:tcPr>
            <w:tcW w:w="2605" w:type="dxa"/>
            <w:hideMark/>
          </w:tcPr>
          <w:p w14:paraId="53F56FC1"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Août</w:t>
            </w:r>
          </w:p>
        </w:tc>
        <w:tc>
          <w:tcPr>
            <w:tcW w:w="1440" w:type="dxa"/>
          </w:tcPr>
          <w:p w14:paraId="09CD10B7" w14:textId="27F9ED0A" w:rsidR="00B02111" w:rsidRPr="007D4280" w:rsidRDefault="00152032" w:rsidP="00B02111">
            <w:pPr>
              <w:spacing w:after="120" w:line="300" w:lineRule="auto"/>
              <w:rPr>
                <w:rFonts w:ascii="Arial" w:eastAsia="Arial" w:hAnsi="Arial" w:cs="Arial"/>
                <w:sz w:val="18"/>
              </w:rPr>
            </w:pPr>
            <w:r w:rsidRPr="007D4280">
              <w:rPr>
                <w:rFonts w:ascii="Arial" w:hAnsi="Arial"/>
                <w:sz w:val="18"/>
              </w:rPr>
              <w:t>36,35</w:t>
            </w:r>
          </w:p>
        </w:tc>
        <w:tc>
          <w:tcPr>
            <w:tcW w:w="1260" w:type="dxa"/>
          </w:tcPr>
          <w:p w14:paraId="1B06E88A" w14:textId="3A076C67" w:rsidR="00B02111" w:rsidRPr="007D4280" w:rsidRDefault="00152032" w:rsidP="00B02111">
            <w:pPr>
              <w:spacing w:after="120" w:line="300" w:lineRule="auto"/>
              <w:rPr>
                <w:rFonts w:ascii="Arial" w:eastAsia="Arial" w:hAnsi="Arial" w:cs="Arial"/>
                <w:sz w:val="18"/>
              </w:rPr>
            </w:pPr>
            <w:r w:rsidRPr="007D4280">
              <w:rPr>
                <w:rFonts w:ascii="Arial" w:hAnsi="Arial"/>
                <w:sz w:val="18"/>
              </w:rPr>
              <w:t>28,8</w:t>
            </w:r>
          </w:p>
        </w:tc>
        <w:tc>
          <w:tcPr>
            <w:tcW w:w="1800" w:type="dxa"/>
          </w:tcPr>
          <w:p w14:paraId="7313C87A" w14:textId="49D6881B" w:rsidR="00B02111" w:rsidRPr="007D4280" w:rsidRDefault="00152032" w:rsidP="00B02111">
            <w:pPr>
              <w:spacing w:after="120" w:line="300" w:lineRule="auto"/>
              <w:rPr>
                <w:rFonts w:ascii="Arial" w:eastAsia="Arial" w:hAnsi="Arial" w:cs="Arial"/>
                <w:sz w:val="18"/>
              </w:rPr>
            </w:pPr>
            <w:r w:rsidRPr="007D4280">
              <w:rPr>
                <w:rFonts w:ascii="Arial" w:hAnsi="Arial"/>
                <w:sz w:val="18"/>
              </w:rPr>
              <w:t>6 307 525</w:t>
            </w:r>
          </w:p>
        </w:tc>
      </w:tr>
      <w:tr w:rsidR="001E3511" w:rsidRPr="007D4280" w14:paraId="734046DA" w14:textId="77777777" w:rsidTr="003474D4">
        <w:trPr>
          <w:trHeight w:val="300"/>
        </w:trPr>
        <w:tc>
          <w:tcPr>
            <w:tcW w:w="2605" w:type="dxa"/>
            <w:hideMark/>
          </w:tcPr>
          <w:p w14:paraId="45334F76"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Juillet</w:t>
            </w:r>
          </w:p>
        </w:tc>
        <w:tc>
          <w:tcPr>
            <w:tcW w:w="1440" w:type="dxa"/>
          </w:tcPr>
          <w:p w14:paraId="5C7C3EED" w14:textId="463041BC" w:rsidR="00B02111" w:rsidRPr="007D4280" w:rsidRDefault="00152032" w:rsidP="00B02111">
            <w:pPr>
              <w:spacing w:after="120" w:line="300" w:lineRule="auto"/>
              <w:rPr>
                <w:rFonts w:ascii="Arial" w:eastAsia="Arial" w:hAnsi="Arial" w:cs="Arial"/>
                <w:sz w:val="18"/>
              </w:rPr>
            </w:pPr>
            <w:r w:rsidRPr="007D4280">
              <w:rPr>
                <w:rFonts w:ascii="Arial" w:hAnsi="Arial"/>
                <w:sz w:val="18"/>
              </w:rPr>
              <w:t>30,70</w:t>
            </w:r>
          </w:p>
        </w:tc>
        <w:tc>
          <w:tcPr>
            <w:tcW w:w="1260" w:type="dxa"/>
          </w:tcPr>
          <w:p w14:paraId="2586FADE" w14:textId="44569F8A" w:rsidR="00B02111" w:rsidRPr="007D4280" w:rsidRDefault="00152032" w:rsidP="00B02111">
            <w:pPr>
              <w:spacing w:after="120" w:line="300" w:lineRule="auto"/>
              <w:rPr>
                <w:rFonts w:ascii="Arial" w:eastAsia="Arial" w:hAnsi="Arial" w:cs="Arial"/>
                <w:sz w:val="18"/>
              </w:rPr>
            </w:pPr>
            <w:r w:rsidRPr="007D4280">
              <w:rPr>
                <w:rFonts w:ascii="Arial" w:hAnsi="Arial"/>
                <w:sz w:val="18"/>
              </w:rPr>
              <w:t>27,93</w:t>
            </w:r>
          </w:p>
        </w:tc>
        <w:tc>
          <w:tcPr>
            <w:tcW w:w="1800" w:type="dxa"/>
          </w:tcPr>
          <w:p w14:paraId="4652D849" w14:textId="4A334D98" w:rsidR="00B02111" w:rsidRPr="007D4280" w:rsidRDefault="00152032" w:rsidP="00B02111">
            <w:pPr>
              <w:spacing w:after="120" w:line="300" w:lineRule="auto"/>
              <w:rPr>
                <w:rFonts w:ascii="Arial" w:eastAsia="Arial" w:hAnsi="Arial" w:cs="Arial"/>
                <w:sz w:val="18"/>
              </w:rPr>
            </w:pPr>
            <w:r w:rsidRPr="007D4280">
              <w:rPr>
                <w:rFonts w:ascii="Arial" w:hAnsi="Arial"/>
                <w:sz w:val="18"/>
              </w:rPr>
              <w:t>3 035 849</w:t>
            </w:r>
          </w:p>
        </w:tc>
      </w:tr>
      <w:tr w:rsidR="001E3511" w:rsidRPr="007D4280" w14:paraId="35B302B6" w14:textId="77777777" w:rsidTr="003474D4">
        <w:trPr>
          <w:trHeight w:val="300"/>
        </w:trPr>
        <w:tc>
          <w:tcPr>
            <w:tcW w:w="2605" w:type="dxa"/>
            <w:hideMark/>
          </w:tcPr>
          <w:p w14:paraId="03EB0D57"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Juin</w:t>
            </w:r>
          </w:p>
        </w:tc>
        <w:tc>
          <w:tcPr>
            <w:tcW w:w="1440" w:type="dxa"/>
          </w:tcPr>
          <w:p w14:paraId="6B6B64B2" w14:textId="2D349F9B" w:rsidR="00B02111" w:rsidRPr="007D4280" w:rsidRDefault="00152032" w:rsidP="00B02111">
            <w:pPr>
              <w:spacing w:after="120" w:line="300" w:lineRule="auto"/>
              <w:rPr>
                <w:rFonts w:ascii="Arial" w:eastAsia="Arial" w:hAnsi="Arial" w:cs="Arial"/>
                <w:sz w:val="18"/>
              </w:rPr>
            </w:pPr>
            <w:r w:rsidRPr="007D4280">
              <w:rPr>
                <w:rFonts w:ascii="Arial" w:hAnsi="Arial"/>
                <w:sz w:val="18"/>
              </w:rPr>
              <w:t>28,9</w:t>
            </w:r>
          </w:p>
        </w:tc>
        <w:tc>
          <w:tcPr>
            <w:tcW w:w="1260" w:type="dxa"/>
          </w:tcPr>
          <w:p w14:paraId="1202F34F" w14:textId="56DBB98D" w:rsidR="00B02111" w:rsidRPr="007D4280" w:rsidRDefault="00152032" w:rsidP="00B02111">
            <w:pPr>
              <w:spacing w:after="120" w:line="300" w:lineRule="auto"/>
              <w:rPr>
                <w:rFonts w:ascii="Arial" w:eastAsia="Arial" w:hAnsi="Arial" w:cs="Arial"/>
                <w:sz w:val="18"/>
              </w:rPr>
            </w:pPr>
            <w:r w:rsidRPr="007D4280">
              <w:rPr>
                <w:rFonts w:ascii="Arial" w:hAnsi="Arial"/>
                <w:sz w:val="18"/>
              </w:rPr>
              <w:t>27,06</w:t>
            </w:r>
          </w:p>
        </w:tc>
        <w:tc>
          <w:tcPr>
            <w:tcW w:w="1800" w:type="dxa"/>
          </w:tcPr>
          <w:p w14:paraId="163CCDE2" w14:textId="466A318F" w:rsidR="00B02111" w:rsidRPr="007D4280" w:rsidRDefault="00152032" w:rsidP="00B02111">
            <w:pPr>
              <w:spacing w:after="120" w:line="300" w:lineRule="auto"/>
              <w:rPr>
                <w:rFonts w:ascii="Arial" w:eastAsia="Arial" w:hAnsi="Arial" w:cs="Arial"/>
                <w:sz w:val="18"/>
              </w:rPr>
            </w:pPr>
            <w:r w:rsidRPr="007D4280">
              <w:rPr>
                <w:rFonts w:ascii="Arial" w:hAnsi="Arial"/>
                <w:sz w:val="18"/>
              </w:rPr>
              <w:t>3 213 381</w:t>
            </w:r>
          </w:p>
        </w:tc>
      </w:tr>
      <w:tr w:rsidR="001E3511" w:rsidRPr="007D4280" w14:paraId="2287FED9" w14:textId="77777777" w:rsidTr="003474D4">
        <w:trPr>
          <w:trHeight w:val="300"/>
        </w:trPr>
        <w:tc>
          <w:tcPr>
            <w:tcW w:w="2605" w:type="dxa"/>
            <w:hideMark/>
          </w:tcPr>
          <w:p w14:paraId="2F7BCF05"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Mai</w:t>
            </w:r>
          </w:p>
        </w:tc>
        <w:tc>
          <w:tcPr>
            <w:tcW w:w="1440" w:type="dxa"/>
          </w:tcPr>
          <w:p w14:paraId="3BC1B08F" w14:textId="72FC24E5" w:rsidR="00B02111" w:rsidRPr="007D4280" w:rsidRDefault="00152032" w:rsidP="00B02111">
            <w:pPr>
              <w:spacing w:after="120" w:line="300" w:lineRule="auto"/>
              <w:rPr>
                <w:rFonts w:ascii="Arial" w:eastAsia="Arial" w:hAnsi="Arial" w:cs="Arial"/>
                <w:sz w:val="18"/>
              </w:rPr>
            </w:pPr>
            <w:r w:rsidRPr="007D4280">
              <w:rPr>
                <w:rFonts w:ascii="Arial" w:hAnsi="Arial"/>
                <w:sz w:val="18"/>
              </w:rPr>
              <w:t>27,98</w:t>
            </w:r>
          </w:p>
        </w:tc>
        <w:tc>
          <w:tcPr>
            <w:tcW w:w="1260" w:type="dxa"/>
          </w:tcPr>
          <w:p w14:paraId="109F2B34" w14:textId="4E205F40" w:rsidR="00B02111" w:rsidRPr="007D4280" w:rsidRDefault="00152032" w:rsidP="00B02111">
            <w:pPr>
              <w:spacing w:after="120" w:line="300" w:lineRule="auto"/>
              <w:rPr>
                <w:rFonts w:ascii="Arial" w:eastAsia="Arial" w:hAnsi="Arial" w:cs="Arial"/>
                <w:sz w:val="18"/>
              </w:rPr>
            </w:pPr>
            <w:r w:rsidRPr="007D4280">
              <w:rPr>
                <w:rFonts w:ascii="Arial" w:hAnsi="Arial"/>
                <w:sz w:val="18"/>
              </w:rPr>
              <w:t>24,65</w:t>
            </w:r>
          </w:p>
        </w:tc>
        <w:tc>
          <w:tcPr>
            <w:tcW w:w="1800" w:type="dxa"/>
          </w:tcPr>
          <w:p w14:paraId="454927C8" w14:textId="4AF2F00B" w:rsidR="00B02111" w:rsidRPr="007D4280" w:rsidRDefault="00152032" w:rsidP="00B02111">
            <w:pPr>
              <w:spacing w:after="120" w:line="300" w:lineRule="auto"/>
              <w:rPr>
                <w:rFonts w:ascii="Arial" w:eastAsia="Arial" w:hAnsi="Arial" w:cs="Arial"/>
                <w:sz w:val="18"/>
              </w:rPr>
            </w:pPr>
            <w:r w:rsidRPr="007D4280">
              <w:rPr>
                <w:rFonts w:ascii="Arial" w:hAnsi="Arial"/>
                <w:sz w:val="18"/>
              </w:rPr>
              <w:t>5 033 987</w:t>
            </w:r>
          </w:p>
        </w:tc>
      </w:tr>
      <w:tr w:rsidR="001E3511" w:rsidRPr="007D4280" w14:paraId="55ED9BE5" w14:textId="77777777" w:rsidTr="003474D4">
        <w:trPr>
          <w:trHeight w:val="300"/>
        </w:trPr>
        <w:tc>
          <w:tcPr>
            <w:tcW w:w="2605" w:type="dxa"/>
            <w:hideMark/>
          </w:tcPr>
          <w:p w14:paraId="5648807B"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Avril</w:t>
            </w:r>
          </w:p>
        </w:tc>
        <w:tc>
          <w:tcPr>
            <w:tcW w:w="1440" w:type="dxa"/>
          </w:tcPr>
          <w:p w14:paraId="3675CA9F" w14:textId="64EFAF02" w:rsidR="00B02111" w:rsidRPr="007D4280" w:rsidRDefault="00152032" w:rsidP="00B02111">
            <w:pPr>
              <w:spacing w:after="120" w:line="300" w:lineRule="auto"/>
              <w:rPr>
                <w:rFonts w:ascii="Arial" w:eastAsia="Arial" w:hAnsi="Arial" w:cs="Arial"/>
                <w:sz w:val="18"/>
              </w:rPr>
            </w:pPr>
            <w:r w:rsidRPr="007D4280">
              <w:rPr>
                <w:rFonts w:ascii="Arial" w:hAnsi="Arial"/>
                <w:sz w:val="18"/>
              </w:rPr>
              <w:t>25,69</w:t>
            </w:r>
          </w:p>
        </w:tc>
        <w:tc>
          <w:tcPr>
            <w:tcW w:w="1260" w:type="dxa"/>
          </w:tcPr>
          <w:p w14:paraId="5FEB0ABB" w14:textId="5A19D7D6" w:rsidR="00B02111" w:rsidRPr="007D4280" w:rsidRDefault="00152032" w:rsidP="00B02111">
            <w:pPr>
              <w:spacing w:after="120" w:line="300" w:lineRule="auto"/>
              <w:rPr>
                <w:rFonts w:ascii="Arial" w:eastAsia="Arial" w:hAnsi="Arial" w:cs="Arial"/>
                <w:sz w:val="18"/>
              </w:rPr>
            </w:pPr>
            <w:r w:rsidRPr="007D4280">
              <w:rPr>
                <w:rFonts w:ascii="Arial" w:hAnsi="Arial"/>
                <w:sz w:val="18"/>
              </w:rPr>
              <w:t>22,57</w:t>
            </w:r>
          </w:p>
        </w:tc>
        <w:tc>
          <w:tcPr>
            <w:tcW w:w="1800" w:type="dxa"/>
          </w:tcPr>
          <w:p w14:paraId="57078106" w14:textId="2C7A0D1A" w:rsidR="00B02111" w:rsidRPr="007D4280" w:rsidRDefault="00152032" w:rsidP="00B02111">
            <w:pPr>
              <w:spacing w:after="120" w:line="300" w:lineRule="auto"/>
              <w:rPr>
                <w:rFonts w:ascii="Arial" w:eastAsia="Arial" w:hAnsi="Arial" w:cs="Arial"/>
                <w:sz w:val="18"/>
              </w:rPr>
            </w:pPr>
            <w:r w:rsidRPr="007D4280">
              <w:rPr>
                <w:rFonts w:ascii="Arial" w:hAnsi="Arial"/>
                <w:sz w:val="18"/>
              </w:rPr>
              <w:t>4 148 473</w:t>
            </w:r>
          </w:p>
        </w:tc>
      </w:tr>
      <w:tr w:rsidR="001E3511" w:rsidRPr="007D4280" w14:paraId="2A0E130A" w14:textId="77777777" w:rsidTr="003474D4">
        <w:trPr>
          <w:trHeight w:val="300"/>
        </w:trPr>
        <w:tc>
          <w:tcPr>
            <w:tcW w:w="2605" w:type="dxa"/>
            <w:hideMark/>
          </w:tcPr>
          <w:p w14:paraId="17827C6E"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Mars</w:t>
            </w:r>
          </w:p>
        </w:tc>
        <w:tc>
          <w:tcPr>
            <w:tcW w:w="1440" w:type="dxa"/>
          </w:tcPr>
          <w:p w14:paraId="03EC5272" w14:textId="6155688C" w:rsidR="00B02111" w:rsidRPr="007D4280" w:rsidRDefault="00152032" w:rsidP="00B02111">
            <w:pPr>
              <w:spacing w:after="120" w:line="300" w:lineRule="auto"/>
              <w:rPr>
                <w:rFonts w:ascii="Arial" w:eastAsia="Arial" w:hAnsi="Arial" w:cs="Arial"/>
                <w:sz w:val="18"/>
              </w:rPr>
            </w:pPr>
            <w:r w:rsidRPr="007D4280">
              <w:rPr>
                <w:rFonts w:ascii="Arial" w:hAnsi="Arial"/>
                <w:sz w:val="18"/>
              </w:rPr>
              <w:t>25,69</w:t>
            </w:r>
          </w:p>
        </w:tc>
        <w:tc>
          <w:tcPr>
            <w:tcW w:w="1260" w:type="dxa"/>
          </w:tcPr>
          <w:p w14:paraId="1C2381A9" w14:textId="2498B55A" w:rsidR="00B02111" w:rsidRPr="007D4280" w:rsidRDefault="00152032" w:rsidP="00B02111">
            <w:pPr>
              <w:spacing w:after="120" w:line="300" w:lineRule="auto"/>
              <w:rPr>
                <w:rFonts w:ascii="Arial" w:eastAsia="Arial" w:hAnsi="Arial" w:cs="Arial"/>
                <w:sz w:val="18"/>
              </w:rPr>
            </w:pPr>
            <w:r w:rsidRPr="007D4280">
              <w:rPr>
                <w:rFonts w:ascii="Arial" w:hAnsi="Arial"/>
                <w:sz w:val="18"/>
              </w:rPr>
              <w:t>24,01</w:t>
            </w:r>
          </w:p>
        </w:tc>
        <w:tc>
          <w:tcPr>
            <w:tcW w:w="1800" w:type="dxa"/>
          </w:tcPr>
          <w:p w14:paraId="1931E43F" w14:textId="11720627" w:rsidR="00B02111" w:rsidRPr="007D4280" w:rsidRDefault="00152032" w:rsidP="00B02111">
            <w:pPr>
              <w:spacing w:after="120" w:line="300" w:lineRule="auto"/>
              <w:rPr>
                <w:rFonts w:ascii="Arial" w:eastAsia="Arial" w:hAnsi="Arial" w:cs="Arial"/>
                <w:sz w:val="18"/>
              </w:rPr>
            </w:pPr>
            <w:r w:rsidRPr="007D4280">
              <w:rPr>
                <w:rFonts w:ascii="Arial" w:hAnsi="Arial"/>
                <w:sz w:val="18"/>
              </w:rPr>
              <w:t>4 918 499</w:t>
            </w:r>
          </w:p>
        </w:tc>
      </w:tr>
      <w:tr w:rsidR="001E3511" w:rsidRPr="007D4280" w14:paraId="1760A3B0" w14:textId="77777777" w:rsidTr="003474D4">
        <w:trPr>
          <w:trHeight w:val="300"/>
        </w:trPr>
        <w:tc>
          <w:tcPr>
            <w:tcW w:w="2605" w:type="dxa"/>
            <w:hideMark/>
          </w:tcPr>
          <w:p w14:paraId="78FD2B6A"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Février</w:t>
            </w:r>
          </w:p>
        </w:tc>
        <w:tc>
          <w:tcPr>
            <w:tcW w:w="1440" w:type="dxa"/>
          </w:tcPr>
          <w:p w14:paraId="237777F9" w14:textId="5E62D272" w:rsidR="00B02111" w:rsidRPr="007D4280" w:rsidRDefault="00152032" w:rsidP="00B02111">
            <w:pPr>
              <w:spacing w:after="120" w:line="300" w:lineRule="auto"/>
              <w:rPr>
                <w:rFonts w:ascii="Arial" w:eastAsia="Arial" w:hAnsi="Arial" w:cs="Arial"/>
                <w:sz w:val="18"/>
              </w:rPr>
            </w:pPr>
            <w:r w:rsidRPr="007D4280">
              <w:rPr>
                <w:rFonts w:ascii="Arial" w:hAnsi="Arial"/>
                <w:sz w:val="18"/>
              </w:rPr>
              <w:t>26,10</w:t>
            </w:r>
          </w:p>
        </w:tc>
        <w:tc>
          <w:tcPr>
            <w:tcW w:w="1260" w:type="dxa"/>
          </w:tcPr>
          <w:p w14:paraId="394245AD" w14:textId="103035CF" w:rsidR="00B02111" w:rsidRPr="007D4280" w:rsidRDefault="00152032" w:rsidP="00B02111">
            <w:pPr>
              <w:spacing w:after="120" w:line="300" w:lineRule="auto"/>
              <w:rPr>
                <w:rFonts w:ascii="Arial" w:eastAsia="Arial" w:hAnsi="Arial" w:cs="Arial"/>
                <w:sz w:val="18"/>
              </w:rPr>
            </w:pPr>
            <w:r w:rsidRPr="007D4280">
              <w:rPr>
                <w:rFonts w:ascii="Arial" w:hAnsi="Arial"/>
                <w:sz w:val="18"/>
              </w:rPr>
              <w:t>20,47</w:t>
            </w:r>
          </w:p>
        </w:tc>
        <w:tc>
          <w:tcPr>
            <w:tcW w:w="1800" w:type="dxa"/>
          </w:tcPr>
          <w:p w14:paraId="3E77DCDB" w14:textId="248D0A3C" w:rsidR="00B02111" w:rsidRPr="007D4280" w:rsidRDefault="00152032" w:rsidP="00B02111">
            <w:pPr>
              <w:spacing w:after="120" w:line="300" w:lineRule="auto"/>
              <w:rPr>
                <w:rFonts w:ascii="Arial" w:eastAsia="Arial" w:hAnsi="Arial" w:cs="Arial"/>
                <w:sz w:val="18"/>
              </w:rPr>
            </w:pPr>
            <w:r w:rsidRPr="007D4280">
              <w:rPr>
                <w:rFonts w:ascii="Arial" w:hAnsi="Arial"/>
                <w:sz w:val="18"/>
              </w:rPr>
              <w:t>5 473 083</w:t>
            </w:r>
          </w:p>
        </w:tc>
      </w:tr>
      <w:tr w:rsidR="001E3511" w:rsidRPr="007D4280" w14:paraId="0E144CFC" w14:textId="77777777" w:rsidTr="003474D4">
        <w:trPr>
          <w:trHeight w:val="300"/>
        </w:trPr>
        <w:tc>
          <w:tcPr>
            <w:tcW w:w="2605" w:type="dxa"/>
            <w:hideMark/>
          </w:tcPr>
          <w:p w14:paraId="71746084" w14:textId="77777777" w:rsidR="00B02111" w:rsidRPr="007D4280" w:rsidRDefault="00152032" w:rsidP="00B02111">
            <w:pPr>
              <w:spacing w:after="120" w:line="300" w:lineRule="auto"/>
              <w:rPr>
                <w:rFonts w:ascii="Arial" w:eastAsia="Arial" w:hAnsi="Arial" w:cs="Arial"/>
                <w:sz w:val="18"/>
              </w:rPr>
            </w:pPr>
            <w:r w:rsidRPr="007D4280">
              <w:rPr>
                <w:rFonts w:ascii="Arial" w:hAnsi="Arial"/>
                <w:sz w:val="18"/>
              </w:rPr>
              <w:t>Janvier</w:t>
            </w:r>
          </w:p>
        </w:tc>
        <w:tc>
          <w:tcPr>
            <w:tcW w:w="1440" w:type="dxa"/>
          </w:tcPr>
          <w:p w14:paraId="18A79008" w14:textId="51CE76F0" w:rsidR="00B02111" w:rsidRPr="007D4280" w:rsidRDefault="00152032" w:rsidP="00B02111">
            <w:pPr>
              <w:spacing w:after="120" w:line="300" w:lineRule="auto"/>
              <w:rPr>
                <w:rFonts w:ascii="Arial" w:eastAsia="Arial" w:hAnsi="Arial" w:cs="Arial"/>
                <w:sz w:val="18"/>
              </w:rPr>
            </w:pPr>
            <w:r w:rsidRPr="007D4280">
              <w:rPr>
                <w:rFonts w:ascii="Arial" w:hAnsi="Arial"/>
                <w:sz w:val="18"/>
              </w:rPr>
              <w:t>22,05</w:t>
            </w:r>
          </w:p>
        </w:tc>
        <w:tc>
          <w:tcPr>
            <w:tcW w:w="1260" w:type="dxa"/>
          </w:tcPr>
          <w:p w14:paraId="6F4D41EB" w14:textId="78B5B88A" w:rsidR="00B02111" w:rsidRPr="007D4280" w:rsidRDefault="00152032" w:rsidP="00B02111">
            <w:pPr>
              <w:spacing w:after="120" w:line="300" w:lineRule="auto"/>
              <w:rPr>
                <w:rFonts w:ascii="Arial" w:eastAsia="Arial" w:hAnsi="Arial" w:cs="Arial"/>
                <w:sz w:val="18"/>
              </w:rPr>
            </w:pPr>
            <w:r w:rsidRPr="007D4280">
              <w:rPr>
                <w:rFonts w:ascii="Arial" w:hAnsi="Arial"/>
                <w:sz w:val="18"/>
              </w:rPr>
              <w:t>20,02</w:t>
            </w:r>
          </w:p>
        </w:tc>
        <w:tc>
          <w:tcPr>
            <w:tcW w:w="1800" w:type="dxa"/>
          </w:tcPr>
          <w:p w14:paraId="01E6CB5D" w14:textId="6E7580CA" w:rsidR="00B02111" w:rsidRPr="007D4280" w:rsidRDefault="00152032" w:rsidP="00B02111">
            <w:pPr>
              <w:spacing w:after="120" w:line="300" w:lineRule="auto"/>
              <w:rPr>
                <w:rFonts w:ascii="Arial" w:eastAsia="Arial" w:hAnsi="Arial" w:cs="Arial"/>
                <w:sz w:val="18"/>
              </w:rPr>
            </w:pPr>
            <w:r w:rsidRPr="007D4280">
              <w:rPr>
                <w:rFonts w:ascii="Arial" w:hAnsi="Arial"/>
                <w:sz w:val="18"/>
              </w:rPr>
              <w:t>4 391 819</w:t>
            </w:r>
          </w:p>
        </w:tc>
      </w:tr>
    </w:tbl>
    <w:p w14:paraId="3FA7333C" w14:textId="0C6568FB" w:rsidR="00A455EB" w:rsidRPr="007D4280" w:rsidRDefault="00A455EB" w:rsidP="00A73D25">
      <w:pPr>
        <w:spacing w:after="120" w:line="300" w:lineRule="auto"/>
        <w:rPr>
          <w:rFonts w:ascii="Arial" w:eastAsia="Arial" w:hAnsi="Arial" w:cs="Arial"/>
          <w:sz w:val="18"/>
        </w:rPr>
      </w:pPr>
    </w:p>
    <w:p w14:paraId="2979130B" w14:textId="77777777" w:rsidR="00A455EB" w:rsidRPr="007D4280" w:rsidRDefault="00A455EB" w:rsidP="00A73D25">
      <w:pPr>
        <w:spacing w:after="120" w:line="300" w:lineRule="auto"/>
        <w:rPr>
          <w:rFonts w:ascii="Arial" w:eastAsia="Arial" w:hAnsi="Arial" w:cs="Arial"/>
          <w:sz w:val="18"/>
        </w:rPr>
      </w:pPr>
    </w:p>
    <w:p w14:paraId="2BC92685" w14:textId="77777777" w:rsidR="004F5ECB" w:rsidRPr="007D4280" w:rsidRDefault="00152032" w:rsidP="00A73D25">
      <w:pPr>
        <w:spacing w:after="120" w:line="300" w:lineRule="auto"/>
        <w:rPr>
          <w:rFonts w:ascii="Arial" w:eastAsia="Arial" w:hAnsi="Arial" w:cs="Arial"/>
          <w:i/>
          <w:sz w:val="18"/>
        </w:rPr>
      </w:pPr>
      <w:r w:rsidRPr="007D4280">
        <w:rPr>
          <w:rFonts w:ascii="Arial" w:hAnsi="Arial"/>
          <w:i/>
          <w:sz w:val="18"/>
        </w:rPr>
        <w:br/>
      </w:r>
    </w:p>
    <w:p w14:paraId="0B5B5FBD" w14:textId="77777777" w:rsidR="004F5ECB" w:rsidRPr="007D4280" w:rsidRDefault="004F5ECB" w:rsidP="00A73D25">
      <w:pPr>
        <w:spacing w:after="120" w:line="300" w:lineRule="auto"/>
        <w:rPr>
          <w:rFonts w:ascii="Arial" w:eastAsia="Arial" w:hAnsi="Arial" w:cs="Arial"/>
          <w:i/>
          <w:sz w:val="18"/>
        </w:rPr>
      </w:pPr>
    </w:p>
    <w:p w14:paraId="517E6CB9" w14:textId="77777777" w:rsidR="004F5ECB" w:rsidRPr="007D4280" w:rsidRDefault="004F5ECB" w:rsidP="00E72EC2">
      <w:pPr>
        <w:spacing w:after="120" w:line="300" w:lineRule="auto"/>
        <w:rPr>
          <w:rFonts w:ascii="Arial" w:eastAsia="Arial" w:hAnsi="Arial" w:cs="Arial"/>
          <w:i/>
          <w:sz w:val="18"/>
        </w:rPr>
      </w:pPr>
    </w:p>
    <w:p w14:paraId="63693EDE" w14:textId="77777777" w:rsidR="004F5ECB" w:rsidRPr="007D4280" w:rsidRDefault="004F5ECB" w:rsidP="00E72EC2">
      <w:pPr>
        <w:spacing w:after="120" w:line="300" w:lineRule="auto"/>
        <w:rPr>
          <w:rFonts w:ascii="Arial" w:eastAsia="Arial" w:hAnsi="Arial" w:cs="Arial"/>
          <w:i/>
          <w:sz w:val="18"/>
        </w:rPr>
      </w:pPr>
    </w:p>
    <w:p w14:paraId="58850102" w14:textId="77777777" w:rsidR="004F5ECB" w:rsidRPr="007D4280" w:rsidRDefault="004F5ECB" w:rsidP="00E72EC2">
      <w:pPr>
        <w:spacing w:after="120" w:line="300" w:lineRule="auto"/>
        <w:rPr>
          <w:rFonts w:ascii="Arial" w:eastAsia="Arial" w:hAnsi="Arial" w:cs="Arial"/>
          <w:i/>
          <w:sz w:val="18"/>
        </w:rPr>
      </w:pPr>
    </w:p>
    <w:p w14:paraId="55B7CC54" w14:textId="77777777" w:rsidR="004F5ECB" w:rsidRPr="007D4280" w:rsidRDefault="004F5ECB" w:rsidP="00E72EC2">
      <w:pPr>
        <w:spacing w:after="120" w:line="300" w:lineRule="auto"/>
        <w:rPr>
          <w:rFonts w:ascii="Arial" w:eastAsia="Arial" w:hAnsi="Arial" w:cs="Arial"/>
          <w:i/>
          <w:sz w:val="18"/>
        </w:rPr>
      </w:pPr>
    </w:p>
    <w:p w14:paraId="6C1FE4FC" w14:textId="77777777" w:rsidR="004F5ECB" w:rsidRPr="007D4280" w:rsidRDefault="004F5ECB" w:rsidP="00E72EC2">
      <w:pPr>
        <w:spacing w:after="120" w:line="300" w:lineRule="auto"/>
        <w:rPr>
          <w:rFonts w:ascii="Arial" w:eastAsia="Arial" w:hAnsi="Arial" w:cs="Arial"/>
          <w:i/>
          <w:sz w:val="18"/>
        </w:rPr>
      </w:pPr>
    </w:p>
    <w:p w14:paraId="12660D04" w14:textId="77777777" w:rsidR="004F5ECB" w:rsidRPr="007D4280" w:rsidRDefault="004F5ECB" w:rsidP="00E72EC2">
      <w:pPr>
        <w:spacing w:after="120" w:line="300" w:lineRule="auto"/>
        <w:rPr>
          <w:rFonts w:ascii="Arial" w:eastAsia="Arial" w:hAnsi="Arial" w:cs="Arial"/>
          <w:i/>
          <w:sz w:val="18"/>
        </w:rPr>
      </w:pPr>
    </w:p>
    <w:p w14:paraId="637C7ED9" w14:textId="77777777" w:rsidR="004F5ECB" w:rsidRPr="007D4280" w:rsidRDefault="004F5ECB" w:rsidP="00E72EC2">
      <w:pPr>
        <w:spacing w:after="120" w:line="300" w:lineRule="auto"/>
        <w:rPr>
          <w:rFonts w:ascii="Arial" w:eastAsia="Arial" w:hAnsi="Arial" w:cs="Arial"/>
          <w:i/>
          <w:sz w:val="18"/>
        </w:rPr>
      </w:pPr>
    </w:p>
    <w:p w14:paraId="426B3D57" w14:textId="77777777" w:rsidR="004F5ECB" w:rsidRPr="007D4280" w:rsidRDefault="004F5ECB" w:rsidP="00E72EC2">
      <w:pPr>
        <w:spacing w:after="120" w:line="300" w:lineRule="auto"/>
        <w:rPr>
          <w:rFonts w:ascii="Arial" w:eastAsia="Arial" w:hAnsi="Arial" w:cs="Arial"/>
          <w:i/>
          <w:sz w:val="18"/>
        </w:rPr>
      </w:pPr>
    </w:p>
    <w:p w14:paraId="04A5C9AF" w14:textId="77777777" w:rsidR="004F5ECB" w:rsidRPr="007D4280" w:rsidRDefault="004F5ECB" w:rsidP="00E72EC2">
      <w:pPr>
        <w:spacing w:after="120" w:line="300" w:lineRule="auto"/>
        <w:rPr>
          <w:rFonts w:ascii="Arial" w:eastAsia="Arial" w:hAnsi="Arial" w:cs="Arial"/>
          <w:i/>
          <w:sz w:val="18"/>
        </w:rPr>
      </w:pPr>
    </w:p>
    <w:p w14:paraId="33DD1B58" w14:textId="5E0ECD87" w:rsidR="00695197" w:rsidRPr="007D4280" w:rsidRDefault="00695197" w:rsidP="00E72EC2">
      <w:pPr>
        <w:spacing w:after="120" w:line="300" w:lineRule="auto"/>
        <w:jc w:val="both"/>
        <w:rPr>
          <w:rFonts w:ascii="Arial" w:eastAsia="Arial" w:hAnsi="Arial" w:cs="Arial"/>
          <w:sz w:val="18"/>
        </w:rPr>
      </w:pPr>
    </w:p>
    <w:p w14:paraId="7C8154FB" w14:textId="62A74474" w:rsidR="00772A57" w:rsidRPr="007D4280" w:rsidRDefault="00152032" w:rsidP="00E1019B">
      <w:pPr>
        <w:keepNext/>
        <w:spacing w:after="120" w:line="300" w:lineRule="auto"/>
        <w:rPr>
          <w:rFonts w:ascii="Arial" w:eastAsia="Arial" w:hAnsi="Arial" w:cs="Arial"/>
          <w:i/>
          <w:iCs/>
          <w:sz w:val="18"/>
        </w:rPr>
      </w:pPr>
      <w:r w:rsidRPr="007D4280">
        <w:rPr>
          <w:rFonts w:ascii="Arial" w:hAnsi="Arial"/>
          <w:i/>
          <w:sz w:val="18"/>
        </w:rPr>
        <w:t xml:space="preserve">Offres publiques de rachat dans le cours normal des activités </w:t>
      </w:r>
    </w:p>
    <w:p w14:paraId="22DB04FB" w14:textId="654DAAC9" w:rsidR="00F770E9" w:rsidRPr="007D4280" w:rsidRDefault="00152032" w:rsidP="00E20D79">
      <w:pPr>
        <w:spacing w:after="120" w:line="300" w:lineRule="auto"/>
        <w:rPr>
          <w:rFonts w:ascii="Arial" w:eastAsia="Arial" w:hAnsi="Arial" w:cs="Arial"/>
          <w:sz w:val="18"/>
        </w:rPr>
      </w:pPr>
      <w:r w:rsidRPr="007D4280">
        <w:rPr>
          <w:rFonts w:ascii="Arial" w:hAnsi="Arial"/>
          <w:sz w:val="18"/>
        </w:rPr>
        <w:t>Le 11 mars 2025, la Bourse de Toronto a accepté l’avis déposé par la Société concernant l’établissement d’un programme d’offre publique de rachat dans le cours normal de ses activités (OPRCN), autorisant ainsi la Société à racheter, à sa discrétion, jusqu’à 7,3 millions d’actions ordinaires dans le marché ouvert ou de la façon autorisée par le TSX, sous réserve des modalités et des limites normales de ce type d’offres. Les actions ordinaires achetées par la Société ont été annulées. Le programme a commencé le 13 mars 2025 et s’est terminé le 12 mars 2026. La Société a racheté 0,7 million d’actions ordinaires au cours moyen de 28,75 $ l’action dans le cadre de ce programme au cours de l’exercice ayant pris fin le 31 décembre 2025.</w:t>
      </w:r>
    </w:p>
    <w:p w14:paraId="28C8B398" w14:textId="719EBF5D" w:rsidR="002468CC" w:rsidRPr="007D4280" w:rsidRDefault="00152032" w:rsidP="00FC67C4">
      <w:pPr>
        <w:spacing w:after="120" w:line="300" w:lineRule="auto"/>
        <w:rPr>
          <w:rFonts w:ascii="Arial" w:eastAsia="Arial" w:hAnsi="Arial"/>
          <w:b/>
          <w:sz w:val="18"/>
        </w:rPr>
      </w:pPr>
      <w:r w:rsidRPr="007D4280">
        <w:rPr>
          <w:rFonts w:ascii="Arial" w:hAnsi="Arial"/>
          <w:sz w:val="18"/>
        </w:rPr>
        <w:t>Le 11 mars 2026, la TSX a accepté l’avis déposé par la Société concernant l’établissement d’un nouveau programme d’OPRCNA, autorisant ainsi la Société à racheter, à sa discrétion, jusqu’à 7,3 millions d’actions ordinaires dans le marché ouvert ou de la façon autorisée par la TSX, sous réserve des modalités et des limites normales de ce type d’offres. Les actions ordinaires achetées par la Société seront annulées. Le programme a commencé le 13 mars 2026 et se terminera le 12 mars 2027.</w:t>
      </w:r>
      <w:r w:rsidRPr="007D4280">
        <w:rPr>
          <w:rFonts w:ascii="Arial" w:hAnsi="Arial"/>
          <w:b/>
          <w:sz w:val="18"/>
        </w:rPr>
        <w:t xml:space="preserve"> </w:t>
      </w:r>
    </w:p>
    <w:p w14:paraId="14D24946" w14:textId="60DFF48A" w:rsidR="0083163F" w:rsidRPr="007D4280" w:rsidRDefault="0083163F" w:rsidP="00FC67C4">
      <w:pPr>
        <w:spacing w:after="120" w:line="300" w:lineRule="auto"/>
        <w:rPr>
          <w:rFonts w:ascii="Arial" w:eastAsia="Arial" w:hAnsi="Arial"/>
          <w:b/>
          <w:sz w:val="18"/>
        </w:rPr>
      </w:pPr>
      <w:r w:rsidRPr="007D4280">
        <w:rPr>
          <w:rFonts w:ascii="Arial" w:hAnsi="Arial"/>
          <w:sz w:val="18"/>
        </w:rPr>
        <w:t>Dans le cadre de l’OPRCNA, la Société a également conclu un plan d’achat automatique d’actions avec son courtier désigné afin de permettre l’achat d’actions ordinaires pendant certaines périodes d’interdiction prédéterminées, sous réserve de certains paramètres concernant le cours et le nombre d’actions ordinaires. À l’extérieur de ces périodes de secret prédéterminées, les actions ordinaires seront achetées à la discrétion de la direction de la Société, selon les modalités prévues par la loi. Le régime constitue un régime automatique aux fins de la législation canadienne sur les valeurs mobilières applicable et a été préautorisé par la TSX.</w:t>
      </w:r>
    </w:p>
    <w:p w14:paraId="6598E72C" w14:textId="77777777" w:rsidR="001765E0" w:rsidRPr="007D4280" w:rsidRDefault="00152032" w:rsidP="001765E0">
      <w:pPr>
        <w:pStyle w:val="AIF-Level1"/>
        <w:outlineLvl w:val="0"/>
      </w:pPr>
      <w:bookmarkStart w:id="57" w:name="_Toc226985990"/>
      <w:bookmarkStart w:id="58" w:name="_Hlk184112180"/>
      <w:bookmarkStart w:id="59" w:name="_Hlk219235793"/>
      <w:bookmarkStart w:id="60" w:name="_Hlk186789564"/>
      <w:r w:rsidRPr="007D4280">
        <w:t>ADMINISTRATEURS ET DIRIGEANTS</w:t>
      </w:r>
      <w:bookmarkEnd w:id="57"/>
    </w:p>
    <w:p w14:paraId="325C988D" w14:textId="1A95BA1F" w:rsidR="00555529" w:rsidRPr="007D4280" w:rsidRDefault="00152032" w:rsidP="00555529">
      <w:pPr>
        <w:spacing w:after="120" w:line="300" w:lineRule="auto"/>
        <w:rPr>
          <w:rFonts w:ascii="Arial" w:eastAsia="Arial" w:hAnsi="Arial" w:cs="Arial"/>
          <w:sz w:val="18"/>
        </w:rPr>
      </w:pPr>
      <w:bookmarkStart w:id="61" w:name="_Hlk219296213"/>
      <w:bookmarkEnd w:id="58"/>
      <w:bookmarkEnd w:id="59"/>
      <w:r w:rsidRPr="007D4280">
        <w:rPr>
          <w:rFonts w:ascii="Arial" w:hAnsi="Arial"/>
          <w:sz w:val="18"/>
        </w:rPr>
        <w:t>Le tableau ci-dessous indique le nom des administrateurs et leur ville de résidence, l’année au cours de laquelle ils sont devenus administrateurs de la Société et leur occupation principale au cours des cinq dernières années. Les administrateurs sont élus afin d’exercer leurs fonctions jusqu’à l’assemblée générale annuelle suivante ou jusqu’à ce que leur successeur soit élu ou nommé.</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244"/>
        <w:gridCol w:w="4545"/>
      </w:tblGrid>
      <w:tr w:rsidR="001E3511" w:rsidRPr="007D4280" w14:paraId="5E9519AD" w14:textId="77777777" w:rsidTr="005608E8">
        <w:trPr>
          <w:cantSplit/>
          <w:trHeight w:val="20"/>
        </w:trPr>
        <w:tc>
          <w:tcPr>
            <w:tcW w:w="3595" w:type="dxa"/>
            <w:shd w:val="clear" w:color="auto" w:fill="FFFFFF" w:themeFill="background1"/>
            <w:tcMar>
              <w:top w:w="0" w:type="dxa"/>
              <w:left w:w="53" w:type="dxa"/>
              <w:bottom w:w="0" w:type="dxa"/>
              <w:right w:w="53" w:type="dxa"/>
            </w:tcMar>
          </w:tcPr>
          <w:p w14:paraId="25552CB2" w14:textId="77777777" w:rsidR="00555529" w:rsidRPr="007D4280" w:rsidRDefault="00152032" w:rsidP="00C11919">
            <w:pPr>
              <w:keepNext/>
              <w:spacing w:before="33" w:after="30" w:line="300" w:lineRule="auto"/>
              <w:rPr>
                <w:rFonts w:ascii="Arial" w:hAnsi="Arial" w:cs="Arial"/>
                <w:sz w:val="16"/>
                <w:szCs w:val="16"/>
              </w:rPr>
            </w:pPr>
            <w:r w:rsidRPr="007D4280">
              <w:rPr>
                <w:rFonts w:ascii="Arial" w:hAnsi="Arial"/>
                <w:b/>
                <w:color w:val="000000"/>
                <w:sz w:val="16"/>
              </w:rPr>
              <w:t>Nom et ville de résidence</w:t>
            </w:r>
          </w:p>
        </w:tc>
        <w:tc>
          <w:tcPr>
            <w:tcW w:w="1178" w:type="dxa"/>
            <w:shd w:val="clear" w:color="auto" w:fill="FFFFFF" w:themeFill="background1"/>
            <w:tcMar>
              <w:top w:w="0" w:type="dxa"/>
              <w:left w:w="53" w:type="dxa"/>
              <w:bottom w:w="0" w:type="dxa"/>
              <w:right w:w="53" w:type="dxa"/>
            </w:tcMar>
          </w:tcPr>
          <w:p w14:paraId="4FA0697A" w14:textId="77777777" w:rsidR="00555529" w:rsidRPr="007D4280" w:rsidRDefault="00152032" w:rsidP="00C11919">
            <w:pPr>
              <w:keepNext/>
              <w:spacing w:before="33" w:after="30" w:line="300" w:lineRule="auto"/>
              <w:jc w:val="center"/>
              <w:rPr>
                <w:rFonts w:ascii="Arial" w:hAnsi="Arial" w:cs="Arial"/>
                <w:sz w:val="16"/>
                <w:szCs w:val="16"/>
              </w:rPr>
            </w:pPr>
            <w:r w:rsidRPr="007D4280">
              <w:rPr>
                <w:rFonts w:ascii="Arial" w:hAnsi="Arial"/>
                <w:b/>
                <w:color w:val="000000"/>
                <w:sz w:val="16"/>
              </w:rPr>
              <w:t>Administrateur depuis</w:t>
            </w:r>
          </w:p>
        </w:tc>
        <w:tc>
          <w:tcPr>
            <w:tcW w:w="4575" w:type="dxa"/>
            <w:shd w:val="clear" w:color="auto" w:fill="FFFFFF" w:themeFill="background1"/>
            <w:tcMar>
              <w:top w:w="0" w:type="dxa"/>
              <w:left w:w="53" w:type="dxa"/>
              <w:bottom w:w="0" w:type="dxa"/>
              <w:right w:w="53" w:type="dxa"/>
            </w:tcMar>
          </w:tcPr>
          <w:p w14:paraId="588F903E" w14:textId="5B0CC5CB" w:rsidR="00555529" w:rsidRPr="007D4280" w:rsidRDefault="00152032" w:rsidP="00C11919">
            <w:pPr>
              <w:keepNext/>
              <w:spacing w:before="33" w:after="30" w:line="300" w:lineRule="auto"/>
              <w:rPr>
                <w:rFonts w:ascii="Arial" w:eastAsia="Arial" w:hAnsi="Arial" w:cs="Arial"/>
                <w:b/>
                <w:color w:val="000000"/>
                <w:sz w:val="16"/>
                <w:szCs w:val="16"/>
              </w:rPr>
            </w:pPr>
            <w:r w:rsidRPr="007D4280">
              <w:rPr>
                <w:rFonts w:ascii="Arial" w:hAnsi="Arial"/>
                <w:b/>
                <w:color w:val="000000"/>
                <w:sz w:val="16"/>
              </w:rPr>
              <w:t xml:space="preserve">Occupation principale </w:t>
            </w:r>
          </w:p>
          <w:p w14:paraId="57FB4BBB" w14:textId="4C51C95A" w:rsidR="00D20803" w:rsidRPr="007D4280" w:rsidRDefault="00152032" w:rsidP="00C11919">
            <w:pPr>
              <w:keepNext/>
              <w:spacing w:before="33" w:after="30" w:line="300" w:lineRule="auto"/>
              <w:rPr>
                <w:rFonts w:ascii="Arial" w:hAnsi="Arial"/>
                <w:b/>
                <w:sz w:val="16"/>
              </w:rPr>
            </w:pPr>
            <w:r w:rsidRPr="007D4280">
              <w:rPr>
                <w:rFonts w:ascii="Arial" w:hAnsi="Arial"/>
                <w:b/>
                <w:sz w:val="16"/>
              </w:rPr>
              <w:t xml:space="preserve"> </w:t>
            </w:r>
          </w:p>
        </w:tc>
      </w:tr>
      <w:tr w:rsidR="001E3511" w:rsidRPr="007D4280" w14:paraId="24C1BEF3" w14:textId="77777777" w:rsidTr="00BD7E95">
        <w:trPr>
          <w:cantSplit/>
          <w:trHeight w:val="20"/>
        </w:trPr>
        <w:tc>
          <w:tcPr>
            <w:tcW w:w="3595" w:type="dxa"/>
            <w:shd w:val="clear" w:color="auto" w:fill="FFFFFF" w:themeFill="background1"/>
            <w:tcMar>
              <w:top w:w="0" w:type="dxa"/>
              <w:left w:w="53" w:type="dxa"/>
              <w:bottom w:w="0" w:type="dxa"/>
              <w:right w:w="53" w:type="dxa"/>
            </w:tcMar>
          </w:tcPr>
          <w:p w14:paraId="1906EC66"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William E. Aziz</w:t>
            </w:r>
            <w:r w:rsidRPr="007D4280">
              <w:rPr>
                <w:rFonts w:ascii="Arial" w:hAnsi="Arial"/>
                <w:sz w:val="16"/>
                <w:vertAlign w:val="superscript"/>
                <w:lang w:val="en-US"/>
              </w:rPr>
              <w:t>1) 4)</w:t>
            </w:r>
            <w:r w:rsidRPr="007D4280">
              <w:rPr>
                <w:rFonts w:ascii="Arial" w:hAnsi="Arial"/>
                <w:sz w:val="16"/>
                <w:lang w:val="en-US"/>
              </w:rPr>
              <w:t xml:space="preserve"> </w:t>
            </w:r>
          </w:p>
          <w:p w14:paraId="39A7C3C5" w14:textId="77777777" w:rsidR="00555529" w:rsidRPr="007D4280" w:rsidRDefault="00152032" w:rsidP="00C11919">
            <w:pPr>
              <w:tabs>
                <w:tab w:val="left" w:pos="9360"/>
              </w:tabs>
              <w:spacing w:before="9" w:line="300" w:lineRule="auto"/>
              <w:ind w:left="40"/>
              <w:rPr>
                <w:rFonts w:ascii="Arial" w:eastAsia="Arial" w:hAnsi="Arial" w:cs="Arial"/>
                <w:sz w:val="16"/>
                <w:szCs w:val="16"/>
                <w:lang w:val="en-US"/>
              </w:rPr>
            </w:pPr>
            <w:r w:rsidRPr="007D4280">
              <w:rPr>
                <w:rFonts w:ascii="Arial" w:hAnsi="Arial"/>
                <w:sz w:val="16"/>
                <w:lang w:val="en-US"/>
              </w:rPr>
              <w:t>Oakville (Ontario) Canada</w:t>
            </w:r>
          </w:p>
        </w:tc>
        <w:tc>
          <w:tcPr>
            <w:tcW w:w="1178" w:type="dxa"/>
            <w:shd w:val="clear" w:color="auto" w:fill="FFFFFF" w:themeFill="background1"/>
            <w:tcMar>
              <w:top w:w="0" w:type="dxa"/>
              <w:left w:w="53" w:type="dxa"/>
              <w:bottom w:w="0" w:type="dxa"/>
              <w:right w:w="53" w:type="dxa"/>
            </w:tcMar>
          </w:tcPr>
          <w:p w14:paraId="740E37AD" w14:textId="77777777" w:rsidR="00555529" w:rsidRPr="007D4280" w:rsidRDefault="00152032" w:rsidP="00C11919">
            <w:pPr>
              <w:keepNext/>
              <w:spacing w:line="300" w:lineRule="auto"/>
              <w:jc w:val="center"/>
              <w:rPr>
                <w:rFonts w:ascii="Arial" w:hAnsi="Arial" w:cs="Arial"/>
                <w:sz w:val="16"/>
                <w:szCs w:val="16"/>
              </w:rPr>
            </w:pPr>
            <w:r w:rsidRPr="007D4280">
              <w:rPr>
                <w:rFonts w:ascii="Arial" w:hAnsi="Arial"/>
                <w:color w:val="000000"/>
                <w:sz w:val="16"/>
              </w:rPr>
              <w:t>2014</w:t>
            </w:r>
          </w:p>
        </w:tc>
        <w:tc>
          <w:tcPr>
            <w:tcW w:w="4575" w:type="dxa"/>
            <w:shd w:val="clear" w:color="auto" w:fill="FFFFFF" w:themeFill="background1"/>
            <w:tcMar>
              <w:top w:w="0" w:type="dxa"/>
              <w:left w:w="53" w:type="dxa"/>
              <w:bottom w:w="0" w:type="dxa"/>
              <w:right w:w="53" w:type="dxa"/>
            </w:tcMar>
          </w:tcPr>
          <w:p w14:paraId="607AE341" w14:textId="77777777" w:rsidR="00555529" w:rsidRPr="007D4280" w:rsidRDefault="00152032" w:rsidP="00C11919">
            <w:pPr>
              <w:keepNext/>
              <w:tabs>
                <w:tab w:val="left" w:pos="9360"/>
              </w:tabs>
              <w:spacing w:line="300" w:lineRule="auto"/>
              <w:ind w:left="40" w:right="1471"/>
              <w:rPr>
                <w:rFonts w:ascii="Arial" w:eastAsia="Arial" w:hAnsi="Arial" w:cs="Arial"/>
                <w:sz w:val="16"/>
                <w:szCs w:val="16"/>
              </w:rPr>
            </w:pPr>
            <w:r w:rsidRPr="007D4280">
              <w:rPr>
                <w:rFonts w:ascii="Arial" w:hAnsi="Arial"/>
                <w:sz w:val="16"/>
              </w:rPr>
              <w:t>Président et chef de la direction</w:t>
            </w:r>
          </w:p>
          <w:p w14:paraId="656D14BF" w14:textId="0BE879FA" w:rsidR="00555529" w:rsidRPr="007D4280" w:rsidRDefault="00152032" w:rsidP="00C11919">
            <w:pPr>
              <w:keepNext/>
              <w:tabs>
                <w:tab w:val="left" w:pos="9360"/>
              </w:tabs>
              <w:spacing w:line="300" w:lineRule="auto"/>
              <w:ind w:left="40" w:right="2077"/>
              <w:rPr>
                <w:rFonts w:ascii="Arial" w:eastAsia="Arial" w:hAnsi="Arial" w:cs="Arial"/>
                <w:sz w:val="16"/>
                <w:szCs w:val="16"/>
              </w:rPr>
            </w:pPr>
            <w:proofErr w:type="spellStart"/>
            <w:r w:rsidRPr="007D4280">
              <w:rPr>
                <w:rFonts w:ascii="Arial" w:hAnsi="Arial"/>
                <w:sz w:val="16"/>
              </w:rPr>
              <w:t>BlueTree</w:t>
            </w:r>
            <w:proofErr w:type="spellEnd"/>
            <w:r w:rsidRPr="007D4280">
              <w:rPr>
                <w:rFonts w:ascii="Arial" w:hAnsi="Arial"/>
                <w:sz w:val="16"/>
              </w:rPr>
              <w:t xml:space="preserve"> </w:t>
            </w:r>
            <w:proofErr w:type="spellStart"/>
            <w:r w:rsidRPr="007D4280">
              <w:rPr>
                <w:rFonts w:ascii="Arial" w:hAnsi="Arial"/>
                <w:sz w:val="16"/>
              </w:rPr>
              <w:t>Advisors</w:t>
            </w:r>
            <w:proofErr w:type="spellEnd"/>
            <w:r w:rsidRPr="007D4280">
              <w:rPr>
                <w:rFonts w:ascii="Arial" w:hAnsi="Arial"/>
                <w:sz w:val="16"/>
              </w:rPr>
              <w:t xml:space="preserve"> Inc., une société de restructuration d’entreprise et de services de conseils financiers</w:t>
            </w:r>
          </w:p>
        </w:tc>
      </w:tr>
      <w:tr w:rsidR="001E3511" w:rsidRPr="007D4280" w14:paraId="30C3505B" w14:textId="77777777" w:rsidTr="00BD7E95">
        <w:trPr>
          <w:cantSplit/>
          <w:trHeight w:val="20"/>
        </w:trPr>
        <w:tc>
          <w:tcPr>
            <w:tcW w:w="3595" w:type="dxa"/>
            <w:shd w:val="clear" w:color="auto" w:fill="FFFFFF" w:themeFill="background1"/>
            <w:tcMar>
              <w:top w:w="0" w:type="dxa"/>
              <w:left w:w="53" w:type="dxa"/>
              <w:bottom w:w="0" w:type="dxa"/>
              <w:right w:w="53" w:type="dxa"/>
            </w:tcMar>
          </w:tcPr>
          <w:p w14:paraId="37C748C5"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Ronald G. Close</w:t>
            </w:r>
            <w:r w:rsidRPr="007D4280">
              <w:rPr>
                <w:rFonts w:ascii="Arial" w:hAnsi="Arial"/>
                <w:sz w:val="16"/>
                <w:vertAlign w:val="superscript"/>
                <w:lang w:val="en-US"/>
              </w:rPr>
              <w:t>2) 4)</w:t>
            </w:r>
          </w:p>
          <w:p w14:paraId="733F74E5" w14:textId="77777777" w:rsidR="00555529" w:rsidRPr="007D4280" w:rsidRDefault="00152032" w:rsidP="00C11919">
            <w:pPr>
              <w:tabs>
                <w:tab w:val="left" w:pos="9360"/>
              </w:tabs>
              <w:spacing w:before="9" w:line="300" w:lineRule="auto"/>
              <w:ind w:left="40"/>
              <w:rPr>
                <w:rFonts w:ascii="Arial" w:eastAsia="Arial" w:hAnsi="Arial" w:cs="Arial"/>
                <w:sz w:val="16"/>
                <w:szCs w:val="16"/>
                <w:lang w:val="en-US"/>
              </w:rPr>
            </w:pPr>
            <w:r w:rsidRPr="007D4280">
              <w:rPr>
                <w:rFonts w:ascii="Arial" w:hAnsi="Arial"/>
                <w:sz w:val="16"/>
                <w:lang w:val="en-US"/>
              </w:rPr>
              <w:t>Toronto (Ontario) Canada</w:t>
            </w:r>
          </w:p>
        </w:tc>
        <w:tc>
          <w:tcPr>
            <w:tcW w:w="1178" w:type="dxa"/>
            <w:shd w:val="clear" w:color="auto" w:fill="FFFFFF" w:themeFill="background1"/>
            <w:tcMar>
              <w:top w:w="0" w:type="dxa"/>
              <w:left w:w="53" w:type="dxa"/>
              <w:bottom w:w="0" w:type="dxa"/>
              <w:right w:w="53" w:type="dxa"/>
            </w:tcMar>
          </w:tcPr>
          <w:p w14:paraId="64747265" w14:textId="77777777" w:rsidR="00555529" w:rsidRPr="007D4280" w:rsidRDefault="00152032" w:rsidP="00C11919">
            <w:pPr>
              <w:keepNext/>
              <w:spacing w:line="300" w:lineRule="auto"/>
              <w:jc w:val="center"/>
              <w:rPr>
                <w:rFonts w:ascii="Arial" w:hAnsi="Arial" w:cs="Arial"/>
                <w:sz w:val="16"/>
                <w:szCs w:val="16"/>
              </w:rPr>
            </w:pPr>
            <w:r w:rsidRPr="007D4280">
              <w:rPr>
                <w:rFonts w:ascii="Arial" w:hAnsi="Arial"/>
                <w:color w:val="000000"/>
                <w:sz w:val="16"/>
              </w:rPr>
              <w:t>2015</w:t>
            </w:r>
          </w:p>
        </w:tc>
        <w:tc>
          <w:tcPr>
            <w:tcW w:w="4575" w:type="dxa"/>
            <w:shd w:val="clear" w:color="auto" w:fill="FFFFFF" w:themeFill="background1"/>
            <w:tcMar>
              <w:top w:w="0" w:type="dxa"/>
              <w:left w:w="53" w:type="dxa"/>
              <w:bottom w:w="0" w:type="dxa"/>
              <w:right w:w="53" w:type="dxa"/>
            </w:tcMar>
          </w:tcPr>
          <w:p w14:paraId="62557A9C" w14:textId="77777777"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Président</w:t>
            </w:r>
          </w:p>
          <w:p w14:paraId="044D9E6C" w14:textId="709C29EF"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RGC &amp; Associates Inc., une société de conseil</w:t>
            </w:r>
          </w:p>
        </w:tc>
      </w:tr>
      <w:tr w:rsidR="001E3511" w:rsidRPr="007D4280" w14:paraId="65FE95F4" w14:textId="77777777" w:rsidTr="00BD7E95">
        <w:trPr>
          <w:cantSplit/>
          <w:trHeight w:val="20"/>
        </w:trPr>
        <w:tc>
          <w:tcPr>
            <w:tcW w:w="3595" w:type="dxa"/>
            <w:shd w:val="clear" w:color="auto" w:fill="FFFFFF" w:themeFill="background1"/>
            <w:tcMar>
              <w:top w:w="0" w:type="dxa"/>
              <w:left w:w="53" w:type="dxa"/>
              <w:bottom w:w="0" w:type="dxa"/>
              <w:right w:w="53" w:type="dxa"/>
            </w:tcMar>
          </w:tcPr>
          <w:p w14:paraId="4FEE7299"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Curtis Frank</w:t>
            </w:r>
          </w:p>
          <w:p w14:paraId="09AF32A0"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Carlisle (Ontario) Canada</w:t>
            </w:r>
          </w:p>
        </w:tc>
        <w:tc>
          <w:tcPr>
            <w:tcW w:w="1178" w:type="dxa"/>
            <w:shd w:val="clear" w:color="auto" w:fill="FFFFFF" w:themeFill="background1"/>
            <w:tcMar>
              <w:top w:w="0" w:type="dxa"/>
              <w:left w:w="53" w:type="dxa"/>
              <w:bottom w:w="0" w:type="dxa"/>
              <w:right w:w="53" w:type="dxa"/>
            </w:tcMar>
          </w:tcPr>
          <w:p w14:paraId="2135CBD7"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color w:val="000000"/>
                <w:sz w:val="16"/>
              </w:rPr>
              <w:t>2023</w:t>
            </w:r>
          </w:p>
        </w:tc>
        <w:tc>
          <w:tcPr>
            <w:tcW w:w="4575" w:type="dxa"/>
            <w:shd w:val="clear" w:color="auto" w:fill="FFFFFF" w:themeFill="background1"/>
            <w:tcMar>
              <w:top w:w="0" w:type="dxa"/>
              <w:left w:w="53" w:type="dxa"/>
              <w:bottom w:w="0" w:type="dxa"/>
              <w:right w:w="53" w:type="dxa"/>
            </w:tcMar>
          </w:tcPr>
          <w:p w14:paraId="27D9B4EC" w14:textId="00A4115F"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Président et chef de la direction</w:t>
            </w:r>
            <w:r w:rsidRPr="007D4280">
              <w:rPr>
                <w:rFonts w:ascii="Arial" w:hAnsi="Arial"/>
                <w:sz w:val="16"/>
              </w:rPr>
              <w:br/>
              <w:t>Les Aliments Maple Leaf Inc. (depuis mai 2023)</w:t>
            </w:r>
            <w:r w:rsidRPr="007D4280">
              <w:rPr>
                <w:rFonts w:ascii="Arial" w:hAnsi="Arial"/>
                <w:sz w:val="16"/>
              </w:rPr>
              <w:br/>
              <w:t>Président et chef de l’exploitation (de février 2019 à mai 2023);</w:t>
            </w:r>
          </w:p>
        </w:tc>
      </w:tr>
      <w:tr w:rsidR="001E3511" w:rsidRPr="007D4280" w14:paraId="6EFAFE6B" w14:textId="77777777" w:rsidTr="00BD7E95">
        <w:trPr>
          <w:cantSplit/>
          <w:trHeight w:val="20"/>
        </w:trPr>
        <w:tc>
          <w:tcPr>
            <w:tcW w:w="3595" w:type="dxa"/>
            <w:shd w:val="clear" w:color="auto" w:fill="FFFFFF" w:themeFill="background1"/>
            <w:tcMar>
              <w:top w:w="0" w:type="dxa"/>
              <w:left w:w="53" w:type="dxa"/>
              <w:bottom w:w="0" w:type="dxa"/>
              <w:right w:w="53" w:type="dxa"/>
            </w:tcMar>
          </w:tcPr>
          <w:p w14:paraId="72CB91C5" w14:textId="77777777" w:rsidR="00555529" w:rsidRPr="007D4280" w:rsidRDefault="00152032" w:rsidP="00C11919">
            <w:pPr>
              <w:keepNext/>
              <w:tabs>
                <w:tab w:val="left" w:pos="9360"/>
              </w:tabs>
              <w:spacing w:line="300" w:lineRule="auto"/>
              <w:ind w:left="40"/>
              <w:rPr>
                <w:rFonts w:ascii="Arial" w:eastAsia="Arial" w:hAnsi="Arial" w:cs="Arial"/>
                <w:sz w:val="16"/>
                <w:szCs w:val="16"/>
              </w:rPr>
            </w:pPr>
            <w:r w:rsidRPr="007D4280">
              <w:rPr>
                <w:rFonts w:ascii="Arial" w:hAnsi="Arial"/>
                <w:sz w:val="16"/>
              </w:rPr>
              <w:t>Thomas P. Hayes</w:t>
            </w:r>
            <w:r w:rsidRPr="007D4280">
              <w:rPr>
                <w:rFonts w:ascii="Arial" w:hAnsi="Arial"/>
                <w:sz w:val="16"/>
                <w:vertAlign w:val="superscript"/>
              </w:rPr>
              <w:t>2) 4) 5)</w:t>
            </w:r>
          </w:p>
          <w:p w14:paraId="06A4347F" w14:textId="77777777" w:rsidR="00555529" w:rsidRPr="007D4280" w:rsidRDefault="00152032" w:rsidP="00C11919">
            <w:pPr>
              <w:keepNext/>
              <w:tabs>
                <w:tab w:val="left" w:pos="9360"/>
              </w:tabs>
              <w:spacing w:line="300" w:lineRule="auto"/>
              <w:ind w:left="40"/>
              <w:rPr>
                <w:rFonts w:ascii="Arial" w:eastAsia="Arial" w:hAnsi="Arial" w:cs="Arial"/>
                <w:sz w:val="16"/>
                <w:szCs w:val="16"/>
              </w:rPr>
            </w:pPr>
            <w:r w:rsidRPr="007D4280">
              <w:rPr>
                <w:rFonts w:ascii="Arial" w:hAnsi="Arial"/>
                <w:sz w:val="16"/>
              </w:rPr>
              <w:t>Boston (Massachusetts) États-Unis</w:t>
            </w:r>
          </w:p>
        </w:tc>
        <w:tc>
          <w:tcPr>
            <w:tcW w:w="1178" w:type="dxa"/>
            <w:shd w:val="clear" w:color="auto" w:fill="FFFFFF" w:themeFill="background1"/>
            <w:tcMar>
              <w:top w:w="0" w:type="dxa"/>
              <w:left w:w="53" w:type="dxa"/>
              <w:bottom w:w="0" w:type="dxa"/>
              <w:right w:w="53" w:type="dxa"/>
            </w:tcMar>
          </w:tcPr>
          <w:p w14:paraId="647E9E69"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color w:val="000000"/>
                <w:sz w:val="16"/>
              </w:rPr>
              <w:t>2021</w:t>
            </w:r>
          </w:p>
        </w:tc>
        <w:tc>
          <w:tcPr>
            <w:tcW w:w="4575" w:type="dxa"/>
            <w:shd w:val="clear" w:color="auto" w:fill="FFFFFF" w:themeFill="background1"/>
            <w:tcMar>
              <w:top w:w="0" w:type="dxa"/>
              <w:left w:w="53" w:type="dxa"/>
              <w:bottom w:w="0" w:type="dxa"/>
              <w:right w:w="53" w:type="dxa"/>
            </w:tcMar>
          </w:tcPr>
          <w:p w14:paraId="68901DC6" w14:textId="6F9880DC" w:rsidR="00555529" w:rsidRPr="007D4280" w:rsidRDefault="00131C27"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Administrateur d’entreprise (depuis mars 2026)</w:t>
            </w:r>
            <w:r w:rsidRPr="007D4280">
              <w:rPr>
                <w:rFonts w:ascii="Arial" w:hAnsi="Arial"/>
                <w:sz w:val="16"/>
              </w:rPr>
              <w:br/>
              <w:t>Président et chef de la direction</w:t>
            </w:r>
          </w:p>
          <w:p w14:paraId="7777B08B" w14:textId="77777777"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proofErr w:type="spellStart"/>
            <w:r w:rsidRPr="007D4280">
              <w:rPr>
                <w:rFonts w:ascii="Arial" w:hAnsi="Arial"/>
                <w:sz w:val="16"/>
              </w:rPr>
              <w:t>Ocean</w:t>
            </w:r>
            <w:proofErr w:type="spellEnd"/>
            <w:r w:rsidRPr="007D4280">
              <w:rPr>
                <w:rFonts w:ascii="Arial" w:hAnsi="Arial"/>
                <w:sz w:val="16"/>
              </w:rPr>
              <w:t xml:space="preserve"> Spray, un fabricant de produits alimentaires et de boissons (de juillet 2020 à mars 2026)</w:t>
            </w:r>
          </w:p>
          <w:p w14:paraId="7BD329E4" w14:textId="1C3BE0BA" w:rsidR="00F805A5" w:rsidRPr="007D4280" w:rsidRDefault="0048069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 xml:space="preserve">Associé, Entrepreneurial </w:t>
            </w:r>
            <w:proofErr w:type="spellStart"/>
            <w:r w:rsidRPr="007D4280">
              <w:rPr>
                <w:rFonts w:ascii="Arial" w:hAnsi="Arial"/>
                <w:sz w:val="16"/>
              </w:rPr>
              <w:t>Equity</w:t>
            </w:r>
            <w:proofErr w:type="spellEnd"/>
            <w:r w:rsidRPr="007D4280">
              <w:rPr>
                <w:rFonts w:ascii="Arial" w:hAnsi="Arial"/>
                <w:sz w:val="16"/>
              </w:rPr>
              <w:t xml:space="preserve"> </w:t>
            </w:r>
            <w:proofErr w:type="spellStart"/>
            <w:r w:rsidRPr="007D4280">
              <w:rPr>
                <w:rFonts w:ascii="Arial" w:hAnsi="Arial"/>
                <w:sz w:val="16"/>
              </w:rPr>
              <w:t>Partners</w:t>
            </w:r>
            <w:proofErr w:type="spellEnd"/>
            <w:r w:rsidRPr="007D4280">
              <w:rPr>
                <w:rFonts w:ascii="Arial" w:hAnsi="Arial"/>
                <w:sz w:val="16"/>
              </w:rPr>
              <w:t xml:space="preserve"> (e2p) (de février 2019 à juillet 2020)</w:t>
            </w:r>
          </w:p>
        </w:tc>
      </w:tr>
      <w:tr w:rsidR="001E3511" w:rsidRPr="007D4280" w14:paraId="3E1A8C19" w14:textId="77777777" w:rsidTr="00BD7E95">
        <w:trPr>
          <w:cantSplit/>
          <w:trHeight w:val="20"/>
        </w:trPr>
        <w:tc>
          <w:tcPr>
            <w:tcW w:w="3595" w:type="dxa"/>
            <w:shd w:val="clear" w:color="auto" w:fill="FFFFFF" w:themeFill="background1"/>
            <w:tcMar>
              <w:top w:w="0" w:type="dxa"/>
              <w:left w:w="53" w:type="dxa"/>
              <w:bottom w:w="0" w:type="dxa"/>
              <w:right w:w="53" w:type="dxa"/>
            </w:tcMar>
          </w:tcPr>
          <w:p w14:paraId="2DFF52F9"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Fareed Khan</w:t>
            </w:r>
            <w:r w:rsidRPr="007D4280">
              <w:rPr>
                <w:rFonts w:ascii="Arial" w:hAnsi="Arial"/>
                <w:sz w:val="16"/>
                <w:vertAlign w:val="superscript"/>
                <w:lang w:val="en-US"/>
              </w:rPr>
              <w:t>1), 3)</w:t>
            </w:r>
          </w:p>
          <w:p w14:paraId="371ED6ED"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Weehawken (New Jersey) États-Unis</w:t>
            </w:r>
          </w:p>
        </w:tc>
        <w:tc>
          <w:tcPr>
            <w:tcW w:w="1178" w:type="dxa"/>
            <w:shd w:val="clear" w:color="auto" w:fill="FFFFFF" w:themeFill="background1"/>
            <w:tcMar>
              <w:top w:w="0" w:type="dxa"/>
              <w:left w:w="53" w:type="dxa"/>
              <w:bottom w:w="0" w:type="dxa"/>
              <w:right w:w="53" w:type="dxa"/>
            </w:tcMar>
          </w:tcPr>
          <w:p w14:paraId="35280BFA"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color w:val="000000"/>
                <w:sz w:val="16"/>
              </w:rPr>
              <w:t>2024</w:t>
            </w:r>
          </w:p>
        </w:tc>
        <w:tc>
          <w:tcPr>
            <w:tcW w:w="4575" w:type="dxa"/>
            <w:shd w:val="clear" w:color="auto" w:fill="FFFFFF" w:themeFill="background1"/>
            <w:tcMar>
              <w:top w:w="0" w:type="dxa"/>
              <w:left w:w="53" w:type="dxa"/>
              <w:bottom w:w="0" w:type="dxa"/>
              <w:right w:w="53" w:type="dxa"/>
            </w:tcMar>
          </w:tcPr>
          <w:p w14:paraId="5C605368" w14:textId="77777777"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Chef des finances</w:t>
            </w:r>
          </w:p>
          <w:p w14:paraId="549F8C1E" w14:textId="30A8413C"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Imperial Dade, une société de services de distribution (depuis septembre 2024)</w:t>
            </w:r>
          </w:p>
          <w:p w14:paraId="2977E587" w14:textId="0900E41E" w:rsidR="00480692" w:rsidRPr="007D4280" w:rsidRDefault="0048069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Chef des finances, Just Food For Dogs (de juin 2022 à septembre 2024)</w:t>
            </w:r>
            <w:r w:rsidRPr="007D4280">
              <w:rPr>
                <w:rFonts w:ascii="Arial" w:hAnsi="Arial"/>
                <w:sz w:val="16"/>
              </w:rPr>
              <w:br/>
              <w:t xml:space="preserve">Chef des finances, </w:t>
            </w:r>
            <w:proofErr w:type="spellStart"/>
            <w:r w:rsidRPr="007D4280">
              <w:rPr>
                <w:rFonts w:ascii="Arial" w:hAnsi="Arial"/>
                <w:sz w:val="16"/>
              </w:rPr>
              <w:t>Enjoy</w:t>
            </w:r>
            <w:proofErr w:type="spellEnd"/>
            <w:r w:rsidRPr="007D4280">
              <w:rPr>
                <w:rFonts w:ascii="Arial" w:hAnsi="Arial"/>
                <w:sz w:val="16"/>
              </w:rPr>
              <w:t xml:space="preserve"> Technologies (de février 2021 à juin 2022)</w:t>
            </w:r>
          </w:p>
          <w:p w14:paraId="766C9199" w14:textId="24875363" w:rsidR="00480692" w:rsidRPr="007D4280" w:rsidRDefault="0048069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 xml:space="preserve">Chef de l’exploitation et des finances, </w:t>
            </w:r>
            <w:proofErr w:type="spellStart"/>
            <w:r w:rsidRPr="007D4280">
              <w:rPr>
                <w:rFonts w:ascii="Arial" w:hAnsi="Arial"/>
                <w:sz w:val="16"/>
              </w:rPr>
              <w:t>Parallel</w:t>
            </w:r>
            <w:proofErr w:type="spellEnd"/>
            <w:r w:rsidRPr="007D4280">
              <w:rPr>
                <w:rFonts w:ascii="Arial" w:hAnsi="Arial"/>
                <w:sz w:val="16"/>
              </w:rPr>
              <w:t xml:space="preserve"> (de juillet 2019 à février 2021)</w:t>
            </w:r>
          </w:p>
        </w:tc>
      </w:tr>
      <w:tr w:rsidR="001E3511" w:rsidRPr="007D4280" w14:paraId="7D1F9A81" w14:textId="77777777" w:rsidTr="00BD7E95">
        <w:trPr>
          <w:cantSplit/>
          <w:trHeight w:val="20"/>
        </w:trPr>
        <w:tc>
          <w:tcPr>
            <w:tcW w:w="3595" w:type="dxa"/>
            <w:shd w:val="clear" w:color="auto" w:fill="FFFFFF" w:themeFill="background1"/>
            <w:tcMar>
              <w:top w:w="0" w:type="dxa"/>
              <w:left w:w="53" w:type="dxa"/>
              <w:bottom w:w="0" w:type="dxa"/>
              <w:right w:w="53" w:type="dxa"/>
            </w:tcMar>
          </w:tcPr>
          <w:p w14:paraId="1B7D7C1E"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Katherine N. Lemon, Ph.D.</w:t>
            </w:r>
            <w:r w:rsidRPr="007D4280">
              <w:rPr>
                <w:rFonts w:ascii="Arial" w:hAnsi="Arial"/>
                <w:sz w:val="16"/>
                <w:vertAlign w:val="superscript"/>
                <w:lang w:val="en-US"/>
              </w:rPr>
              <w:t>1) 3)</w:t>
            </w:r>
          </w:p>
          <w:p w14:paraId="380F46FE" w14:textId="77777777" w:rsidR="00555529" w:rsidRPr="007D4280" w:rsidRDefault="00152032" w:rsidP="00C11919">
            <w:pPr>
              <w:tabs>
                <w:tab w:val="left" w:pos="9360"/>
              </w:tabs>
              <w:spacing w:before="9" w:line="300" w:lineRule="auto"/>
              <w:ind w:left="40"/>
              <w:rPr>
                <w:rFonts w:ascii="Arial" w:eastAsia="Arial" w:hAnsi="Arial" w:cs="Arial"/>
                <w:sz w:val="16"/>
                <w:szCs w:val="16"/>
              </w:rPr>
            </w:pPr>
            <w:proofErr w:type="spellStart"/>
            <w:r w:rsidRPr="007D4280">
              <w:rPr>
                <w:rFonts w:ascii="Arial" w:hAnsi="Arial"/>
                <w:sz w:val="16"/>
              </w:rPr>
              <w:t>Holliston</w:t>
            </w:r>
            <w:proofErr w:type="spellEnd"/>
            <w:r w:rsidRPr="007D4280">
              <w:rPr>
                <w:rFonts w:ascii="Arial" w:hAnsi="Arial"/>
                <w:sz w:val="16"/>
              </w:rPr>
              <w:t xml:space="preserve"> (Massachusetts) États-Unis</w:t>
            </w:r>
          </w:p>
        </w:tc>
        <w:tc>
          <w:tcPr>
            <w:tcW w:w="1178" w:type="dxa"/>
            <w:shd w:val="clear" w:color="auto" w:fill="FFFFFF" w:themeFill="background1"/>
            <w:tcMar>
              <w:top w:w="0" w:type="dxa"/>
              <w:left w:w="53" w:type="dxa"/>
              <w:bottom w:w="0" w:type="dxa"/>
              <w:right w:w="53" w:type="dxa"/>
            </w:tcMar>
          </w:tcPr>
          <w:p w14:paraId="3D234BAD" w14:textId="77777777" w:rsidR="00555529" w:rsidRPr="007D4280" w:rsidRDefault="00152032" w:rsidP="00C11919">
            <w:pPr>
              <w:keepNext/>
              <w:spacing w:line="300" w:lineRule="auto"/>
              <w:jc w:val="center"/>
              <w:rPr>
                <w:rFonts w:ascii="Arial" w:hAnsi="Arial" w:cs="Arial"/>
                <w:sz w:val="16"/>
                <w:szCs w:val="16"/>
              </w:rPr>
            </w:pPr>
            <w:r w:rsidRPr="007D4280">
              <w:rPr>
                <w:rFonts w:ascii="Arial" w:hAnsi="Arial"/>
                <w:color w:val="000000"/>
                <w:sz w:val="16"/>
              </w:rPr>
              <w:t>2018</w:t>
            </w:r>
          </w:p>
        </w:tc>
        <w:tc>
          <w:tcPr>
            <w:tcW w:w="4575" w:type="dxa"/>
            <w:shd w:val="clear" w:color="auto" w:fill="FFFFFF" w:themeFill="background1"/>
            <w:tcMar>
              <w:top w:w="0" w:type="dxa"/>
              <w:left w:w="53" w:type="dxa"/>
              <w:bottom w:w="0" w:type="dxa"/>
              <w:right w:w="53" w:type="dxa"/>
            </w:tcMar>
          </w:tcPr>
          <w:p w14:paraId="6E3515BD" w14:textId="5EA96D38" w:rsidR="00E72FCA" w:rsidRPr="007D4280" w:rsidRDefault="006C109E" w:rsidP="00C11919">
            <w:pPr>
              <w:keepNext/>
              <w:tabs>
                <w:tab w:val="left" w:pos="3630"/>
                <w:tab w:val="left" w:pos="9360"/>
              </w:tabs>
              <w:spacing w:line="300" w:lineRule="auto"/>
              <w:ind w:left="40" w:right="211"/>
              <w:rPr>
                <w:rFonts w:ascii="Arial" w:eastAsia="Arial" w:hAnsi="Arial" w:cs="Arial"/>
                <w:sz w:val="16"/>
                <w:szCs w:val="16"/>
              </w:rPr>
            </w:pPr>
            <w:r w:rsidRPr="007D4280">
              <w:rPr>
                <w:rFonts w:ascii="Arial" w:hAnsi="Arial"/>
                <w:sz w:val="16"/>
              </w:rPr>
              <w:t>Administratrice d’entreprise, professeure émérite et ancienne professeure fondatrice Accenture à la Carroll School of Management du Boston College (depuis juillet 2025)</w:t>
            </w:r>
          </w:p>
          <w:p w14:paraId="3B9C7ACB" w14:textId="15A479F6" w:rsidR="00555529" w:rsidRPr="007D4280" w:rsidRDefault="00152032" w:rsidP="009B2411">
            <w:pPr>
              <w:keepNext/>
              <w:tabs>
                <w:tab w:val="left" w:pos="3630"/>
                <w:tab w:val="left" w:pos="9360"/>
              </w:tabs>
              <w:spacing w:line="300" w:lineRule="auto"/>
              <w:ind w:left="40" w:right="211"/>
              <w:rPr>
                <w:rFonts w:ascii="Arial" w:eastAsia="Arial" w:hAnsi="Arial" w:cs="Arial"/>
                <w:sz w:val="16"/>
                <w:szCs w:val="16"/>
              </w:rPr>
            </w:pPr>
            <w:r w:rsidRPr="007D4280">
              <w:rPr>
                <w:rFonts w:ascii="Arial" w:hAnsi="Arial"/>
                <w:sz w:val="16"/>
              </w:rPr>
              <w:t>Professeure, Carroll School of Management du Boston College (de 2000 à juillet 2025)</w:t>
            </w:r>
          </w:p>
        </w:tc>
      </w:tr>
      <w:tr w:rsidR="001E3511" w:rsidRPr="007D4280" w14:paraId="1ECDB329" w14:textId="77777777" w:rsidTr="00BD7E95">
        <w:trPr>
          <w:cantSplit/>
          <w:trHeight w:val="20"/>
        </w:trPr>
        <w:tc>
          <w:tcPr>
            <w:tcW w:w="3595" w:type="dxa"/>
            <w:shd w:val="clear" w:color="auto" w:fill="FFFFFF" w:themeFill="background1"/>
            <w:tcMar>
              <w:top w:w="0" w:type="dxa"/>
              <w:left w:w="53" w:type="dxa"/>
              <w:bottom w:w="0" w:type="dxa"/>
              <w:right w:w="53" w:type="dxa"/>
            </w:tcMar>
          </w:tcPr>
          <w:p w14:paraId="4077421F" w14:textId="77777777" w:rsidR="00555529" w:rsidRPr="007D4280" w:rsidRDefault="00152032" w:rsidP="00C11919">
            <w:pPr>
              <w:keepNext/>
              <w:tabs>
                <w:tab w:val="left" w:pos="9360"/>
              </w:tabs>
              <w:spacing w:line="300" w:lineRule="auto"/>
              <w:ind w:left="40"/>
              <w:rPr>
                <w:rFonts w:ascii="Arial" w:eastAsia="Arial" w:hAnsi="Arial" w:cs="Arial"/>
                <w:sz w:val="16"/>
                <w:szCs w:val="16"/>
                <w:vertAlign w:val="superscript"/>
                <w:lang w:val="en-US"/>
              </w:rPr>
            </w:pPr>
            <w:r w:rsidRPr="007D4280">
              <w:rPr>
                <w:rFonts w:ascii="Arial" w:hAnsi="Arial"/>
                <w:sz w:val="16"/>
                <w:lang w:val="en-US"/>
              </w:rPr>
              <w:t>Andrew G. Macdonald</w:t>
            </w:r>
            <w:r w:rsidRPr="007D4280">
              <w:rPr>
                <w:rFonts w:ascii="Arial" w:hAnsi="Arial"/>
                <w:sz w:val="16"/>
                <w:vertAlign w:val="superscript"/>
                <w:lang w:val="en-US"/>
              </w:rPr>
              <w:t>1) 4)</w:t>
            </w:r>
          </w:p>
          <w:p w14:paraId="3A307175"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Toronto (Ontario) Canada</w:t>
            </w:r>
          </w:p>
        </w:tc>
        <w:tc>
          <w:tcPr>
            <w:tcW w:w="1178" w:type="dxa"/>
            <w:shd w:val="clear" w:color="auto" w:fill="FFFFFF" w:themeFill="background1"/>
            <w:tcMar>
              <w:top w:w="0" w:type="dxa"/>
              <w:left w:w="53" w:type="dxa"/>
              <w:bottom w:w="0" w:type="dxa"/>
              <w:right w:w="53" w:type="dxa"/>
            </w:tcMar>
          </w:tcPr>
          <w:p w14:paraId="6F7D794E"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color w:val="000000"/>
                <w:sz w:val="16"/>
              </w:rPr>
              <w:t>2023</w:t>
            </w:r>
          </w:p>
        </w:tc>
        <w:tc>
          <w:tcPr>
            <w:tcW w:w="4575" w:type="dxa"/>
            <w:shd w:val="clear" w:color="auto" w:fill="FFFFFF" w:themeFill="background1"/>
            <w:tcMar>
              <w:top w:w="0" w:type="dxa"/>
              <w:left w:w="53" w:type="dxa"/>
              <w:bottom w:w="0" w:type="dxa"/>
              <w:right w:w="53" w:type="dxa"/>
            </w:tcMar>
          </w:tcPr>
          <w:p w14:paraId="3BA3A371" w14:textId="77777777" w:rsidR="00555529" w:rsidRPr="007D4280" w:rsidRDefault="00152032" w:rsidP="00C11919">
            <w:pPr>
              <w:keepNext/>
              <w:tabs>
                <w:tab w:val="left" w:pos="3630"/>
                <w:tab w:val="left" w:pos="9360"/>
              </w:tabs>
              <w:spacing w:line="300" w:lineRule="auto"/>
              <w:ind w:left="40" w:right="211"/>
              <w:rPr>
                <w:rFonts w:ascii="Arial" w:eastAsia="Arial" w:hAnsi="Arial" w:cs="Arial"/>
                <w:sz w:val="16"/>
                <w:szCs w:val="16"/>
              </w:rPr>
            </w:pPr>
            <w:r w:rsidRPr="007D4280">
              <w:rPr>
                <w:rFonts w:ascii="Arial" w:hAnsi="Arial"/>
                <w:sz w:val="16"/>
              </w:rPr>
              <w:t>Président et chef de l’exploitation</w:t>
            </w:r>
          </w:p>
          <w:p w14:paraId="0FC1F481" w14:textId="3D18E625" w:rsidR="00555529" w:rsidRPr="007D4280" w:rsidRDefault="00152032" w:rsidP="00C11919">
            <w:pPr>
              <w:keepNext/>
              <w:tabs>
                <w:tab w:val="left" w:pos="3630"/>
                <w:tab w:val="left" w:pos="9360"/>
              </w:tabs>
              <w:spacing w:line="300" w:lineRule="auto"/>
              <w:ind w:left="40" w:right="211"/>
              <w:rPr>
                <w:rFonts w:ascii="Arial" w:eastAsia="Arial" w:hAnsi="Arial" w:cs="Arial"/>
                <w:sz w:val="16"/>
                <w:szCs w:val="16"/>
              </w:rPr>
            </w:pPr>
            <w:r w:rsidRPr="007D4280">
              <w:rPr>
                <w:rFonts w:ascii="Arial" w:hAnsi="Arial"/>
                <w:sz w:val="16"/>
              </w:rPr>
              <w:t>Uber Technologies Inc., société de covoiturage utilisant une plateforme technologique (de juin 2025 à aujourd’hui)</w:t>
            </w:r>
            <w:r w:rsidRPr="007D4280">
              <w:rPr>
                <w:rFonts w:ascii="Arial" w:hAnsi="Arial"/>
                <w:sz w:val="16"/>
              </w:rPr>
              <w:br/>
              <w:t>Vice-président principal, Mobilité et Opérations commerciales (de juin 2019 à juin 2025)</w:t>
            </w:r>
          </w:p>
        </w:tc>
      </w:tr>
      <w:tr w:rsidR="001E3511" w:rsidRPr="007D4280" w14:paraId="62D02E08" w14:textId="77777777" w:rsidTr="00BD7E95">
        <w:trPr>
          <w:cantSplit/>
          <w:trHeight w:val="20"/>
        </w:trPr>
        <w:tc>
          <w:tcPr>
            <w:tcW w:w="3595" w:type="dxa"/>
            <w:shd w:val="clear" w:color="auto" w:fill="FFFFFF" w:themeFill="background1"/>
            <w:tcMar>
              <w:top w:w="0" w:type="dxa"/>
              <w:left w:w="53" w:type="dxa"/>
              <w:bottom w:w="0" w:type="dxa"/>
              <w:right w:w="53" w:type="dxa"/>
            </w:tcMar>
          </w:tcPr>
          <w:p w14:paraId="545EEB82" w14:textId="77777777" w:rsidR="00555529" w:rsidRPr="007D4280" w:rsidRDefault="00152032" w:rsidP="00C11919">
            <w:pPr>
              <w:keepNext/>
              <w:tabs>
                <w:tab w:val="left" w:pos="9360"/>
              </w:tabs>
              <w:spacing w:line="300" w:lineRule="auto"/>
              <w:ind w:left="40"/>
              <w:rPr>
                <w:rFonts w:ascii="Arial" w:eastAsia="Arial" w:hAnsi="Arial" w:cs="Arial"/>
                <w:sz w:val="16"/>
                <w:szCs w:val="16"/>
                <w:vertAlign w:val="superscript"/>
                <w:lang w:val="en-US"/>
              </w:rPr>
            </w:pPr>
            <w:r w:rsidRPr="007D4280">
              <w:rPr>
                <w:rFonts w:ascii="Arial" w:hAnsi="Arial"/>
                <w:sz w:val="16"/>
                <w:lang w:val="en-US"/>
              </w:rPr>
              <w:t>Linda Mantia</w:t>
            </w:r>
            <w:r w:rsidRPr="007D4280">
              <w:rPr>
                <w:rFonts w:ascii="Arial" w:hAnsi="Arial"/>
                <w:sz w:val="16"/>
                <w:vertAlign w:val="superscript"/>
                <w:lang w:val="en-US"/>
              </w:rPr>
              <w:t>1) 2)</w:t>
            </w:r>
          </w:p>
          <w:p w14:paraId="587DBC3B"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Toronto (Ontario) Canada</w:t>
            </w:r>
          </w:p>
        </w:tc>
        <w:tc>
          <w:tcPr>
            <w:tcW w:w="1178" w:type="dxa"/>
            <w:shd w:val="clear" w:color="auto" w:fill="FFFFFF" w:themeFill="background1"/>
            <w:tcMar>
              <w:top w:w="0" w:type="dxa"/>
              <w:left w:w="53" w:type="dxa"/>
              <w:bottom w:w="0" w:type="dxa"/>
              <w:right w:w="53" w:type="dxa"/>
            </w:tcMar>
          </w:tcPr>
          <w:p w14:paraId="6AAB13C0"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color w:val="000000"/>
                <w:sz w:val="16"/>
              </w:rPr>
              <w:t>2023</w:t>
            </w:r>
          </w:p>
        </w:tc>
        <w:tc>
          <w:tcPr>
            <w:tcW w:w="4575" w:type="dxa"/>
            <w:shd w:val="clear" w:color="auto" w:fill="FFFFFF" w:themeFill="background1"/>
            <w:tcMar>
              <w:top w:w="0" w:type="dxa"/>
              <w:left w:w="53" w:type="dxa"/>
              <w:bottom w:w="0" w:type="dxa"/>
              <w:right w:w="53" w:type="dxa"/>
            </w:tcMar>
          </w:tcPr>
          <w:p w14:paraId="4021914E" w14:textId="43DFE989" w:rsidR="00555529" w:rsidRPr="007D4280" w:rsidRDefault="00152032" w:rsidP="00C11919">
            <w:pPr>
              <w:keepNext/>
              <w:tabs>
                <w:tab w:val="left" w:pos="3630"/>
                <w:tab w:val="left" w:pos="9360"/>
              </w:tabs>
              <w:spacing w:line="300" w:lineRule="auto"/>
              <w:ind w:left="40" w:right="211"/>
              <w:rPr>
                <w:rFonts w:ascii="Arial" w:eastAsia="Arial" w:hAnsi="Arial" w:cs="Arial"/>
                <w:sz w:val="16"/>
                <w:szCs w:val="16"/>
              </w:rPr>
            </w:pPr>
            <w:r w:rsidRPr="007D4280">
              <w:rPr>
                <w:rFonts w:ascii="Arial" w:hAnsi="Arial"/>
                <w:sz w:val="16"/>
              </w:rPr>
              <w:t>Administratrice de sociétés</w:t>
            </w:r>
          </w:p>
        </w:tc>
      </w:tr>
      <w:tr w:rsidR="001E3511" w:rsidRPr="007D4280" w14:paraId="5D7D48AA" w14:textId="77777777" w:rsidTr="00BD7E95">
        <w:trPr>
          <w:cantSplit/>
          <w:trHeight w:val="20"/>
        </w:trPr>
        <w:tc>
          <w:tcPr>
            <w:tcW w:w="3595" w:type="dxa"/>
            <w:shd w:val="clear" w:color="auto" w:fill="FFFFFF" w:themeFill="background1"/>
            <w:tcMar>
              <w:top w:w="0" w:type="dxa"/>
              <w:left w:w="53" w:type="dxa"/>
              <w:bottom w:w="0" w:type="dxa"/>
              <w:right w:w="53" w:type="dxa"/>
            </w:tcMar>
          </w:tcPr>
          <w:p w14:paraId="6782DACC"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Jonathan W.F. McCain</w:t>
            </w:r>
            <w:r w:rsidRPr="007D4280">
              <w:rPr>
                <w:rFonts w:ascii="Arial" w:hAnsi="Arial"/>
                <w:sz w:val="16"/>
                <w:vertAlign w:val="superscript"/>
                <w:lang w:val="en-US"/>
              </w:rPr>
              <w:t>3)</w:t>
            </w:r>
          </w:p>
          <w:p w14:paraId="2210A18C"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Toronto (Ontario) Canada</w:t>
            </w:r>
          </w:p>
        </w:tc>
        <w:tc>
          <w:tcPr>
            <w:tcW w:w="1178" w:type="dxa"/>
            <w:shd w:val="clear" w:color="auto" w:fill="FFFFFF" w:themeFill="background1"/>
            <w:tcMar>
              <w:top w:w="0" w:type="dxa"/>
              <w:left w:w="53" w:type="dxa"/>
              <w:bottom w:w="0" w:type="dxa"/>
              <w:right w:w="53" w:type="dxa"/>
            </w:tcMar>
          </w:tcPr>
          <w:p w14:paraId="73123EBD"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color w:val="000000"/>
                <w:sz w:val="16"/>
              </w:rPr>
              <w:t>2018</w:t>
            </w:r>
          </w:p>
        </w:tc>
        <w:tc>
          <w:tcPr>
            <w:tcW w:w="4575" w:type="dxa"/>
            <w:shd w:val="clear" w:color="auto" w:fill="FFFFFF" w:themeFill="background1"/>
            <w:tcMar>
              <w:top w:w="0" w:type="dxa"/>
              <w:left w:w="53" w:type="dxa"/>
              <w:bottom w:w="0" w:type="dxa"/>
              <w:right w:w="53" w:type="dxa"/>
            </w:tcMar>
          </w:tcPr>
          <w:p w14:paraId="1DFDD26C" w14:textId="77777777" w:rsidR="00555529" w:rsidRPr="007D4280" w:rsidRDefault="00152032" w:rsidP="00C11919">
            <w:pPr>
              <w:keepNext/>
              <w:tabs>
                <w:tab w:val="left" w:pos="3630"/>
                <w:tab w:val="left" w:pos="9360"/>
              </w:tabs>
              <w:spacing w:line="300" w:lineRule="auto"/>
              <w:ind w:left="40" w:right="661"/>
              <w:rPr>
                <w:rFonts w:ascii="Arial" w:eastAsia="Arial" w:hAnsi="Arial" w:cs="Arial"/>
                <w:sz w:val="16"/>
                <w:szCs w:val="16"/>
              </w:rPr>
            </w:pPr>
            <w:r w:rsidRPr="007D4280">
              <w:rPr>
                <w:rFonts w:ascii="Arial" w:hAnsi="Arial"/>
                <w:sz w:val="16"/>
              </w:rPr>
              <w:t>Président</w:t>
            </w:r>
          </w:p>
          <w:p w14:paraId="2D7E3328" w14:textId="7F41DB13" w:rsidR="00097668" w:rsidRPr="007D4280" w:rsidRDefault="00152032" w:rsidP="00097668">
            <w:pPr>
              <w:keepNext/>
              <w:tabs>
                <w:tab w:val="left" w:pos="3630"/>
                <w:tab w:val="left" w:pos="9360"/>
              </w:tabs>
              <w:spacing w:line="300" w:lineRule="auto"/>
              <w:ind w:left="40" w:right="211"/>
              <w:rPr>
                <w:rFonts w:ascii="Arial" w:eastAsia="Arial" w:hAnsi="Arial"/>
                <w:b/>
                <w:sz w:val="16"/>
              </w:rPr>
            </w:pPr>
            <w:r w:rsidRPr="007D4280">
              <w:rPr>
                <w:rFonts w:ascii="Arial" w:hAnsi="Arial"/>
                <w:sz w:val="16"/>
              </w:rPr>
              <w:t>McCain Capital Inc., une société de gestion de placements</w:t>
            </w:r>
          </w:p>
        </w:tc>
      </w:tr>
      <w:tr w:rsidR="001E3511" w:rsidRPr="007D4280" w14:paraId="3D5A19B9" w14:textId="77777777" w:rsidTr="00BD7E95">
        <w:trPr>
          <w:cantSplit/>
          <w:trHeight w:val="20"/>
        </w:trPr>
        <w:tc>
          <w:tcPr>
            <w:tcW w:w="3595" w:type="dxa"/>
            <w:shd w:val="clear" w:color="auto" w:fill="FFFFFF" w:themeFill="background1"/>
            <w:tcMar>
              <w:top w:w="0" w:type="dxa"/>
              <w:left w:w="53" w:type="dxa"/>
              <w:bottom w:w="0" w:type="dxa"/>
              <w:right w:w="53" w:type="dxa"/>
            </w:tcMar>
          </w:tcPr>
          <w:p w14:paraId="2A59985F" w14:textId="77777777" w:rsidR="00555529" w:rsidRPr="007D4280" w:rsidRDefault="00152032" w:rsidP="00C11919">
            <w:pPr>
              <w:keepNext/>
              <w:tabs>
                <w:tab w:val="left" w:pos="9360"/>
              </w:tabs>
              <w:spacing w:line="300" w:lineRule="auto"/>
              <w:ind w:left="40"/>
              <w:rPr>
                <w:rFonts w:ascii="Arial" w:eastAsia="Arial" w:hAnsi="Arial" w:cs="Arial"/>
                <w:sz w:val="16"/>
                <w:szCs w:val="16"/>
                <w:lang w:val="en-US"/>
              </w:rPr>
            </w:pPr>
            <w:r w:rsidRPr="007D4280">
              <w:rPr>
                <w:rFonts w:ascii="Arial" w:hAnsi="Arial"/>
                <w:sz w:val="16"/>
                <w:lang w:val="en-US"/>
              </w:rPr>
              <w:t xml:space="preserve">Michael H. McCain </w:t>
            </w:r>
          </w:p>
          <w:p w14:paraId="4A373C98" w14:textId="77777777" w:rsidR="00555529" w:rsidRPr="007D4280" w:rsidRDefault="00152032" w:rsidP="00C11919">
            <w:pPr>
              <w:keepNext/>
              <w:tabs>
                <w:tab w:val="left" w:pos="9360"/>
              </w:tabs>
              <w:spacing w:line="300" w:lineRule="auto"/>
              <w:ind w:left="40"/>
              <w:rPr>
                <w:rFonts w:ascii="Arial" w:hAnsi="Arial" w:cs="Arial"/>
                <w:sz w:val="16"/>
                <w:szCs w:val="16"/>
                <w:lang w:val="en-US"/>
              </w:rPr>
            </w:pPr>
            <w:r w:rsidRPr="007D4280">
              <w:rPr>
                <w:rFonts w:ascii="Arial" w:hAnsi="Arial"/>
                <w:sz w:val="16"/>
                <w:lang w:val="en-US"/>
              </w:rPr>
              <w:t>Toronto (Ontario) Canada</w:t>
            </w:r>
          </w:p>
        </w:tc>
        <w:tc>
          <w:tcPr>
            <w:tcW w:w="1178" w:type="dxa"/>
            <w:shd w:val="clear" w:color="auto" w:fill="FFFFFF" w:themeFill="background1"/>
            <w:tcMar>
              <w:top w:w="0" w:type="dxa"/>
              <w:left w:w="53" w:type="dxa"/>
              <w:bottom w:w="0" w:type="dxa"/>
              <w:right w:w="53" w:type="dxa"/>
            </w:tcMar>
          </w:tcPr>
          <w:p w14:paraId="441C6304" w14:textId="77777777" w:rsidR="00555529" w:rsidRPr="007D4280" w:rsidRDefault="00152032" w:rsidP="00C11919">
            <w:pPr>
              <w:keepNext/>
              <w:spacing w:line="300" w:lineRule="auto"/>
              <w:jc w:val="center"/>
              <w:rPr>
                <w:rFonts w:ascii="Arial" w:hAnsi="Arial" w:cs="Arial"/>
                <w:sz w:val="16"/>
                <w:szCs w:val="16"/>
              </w:rPr>
            </w:pPr>
            <w:r w:rsidRPr="007D4280">
              <w:rPr>
                <w:rFonts w:ascii="Arial" w:hAnsi="Arial"/>
                <w:color w:val="000000"/>
                <w:sz w:val="16"/>
              </w:rPr>
              <w:t>1995</w:t>
            </w:r>
          </w:p>
        </w:tc>
        <w:tc>
          <w:tcPr>
            <w:tcW w:w="4575" w:type="dxa"/>
            <w:shd w:val="clear" w:color="auto" w:fill="FFFFFF" w:themeFill="background1"/>
            <w:tcMar>
              <w:top w:w="0" w:type="dxa"/>
              <w:left w:w="53" w:type="dxa"/>
              <w:bottom w:w="0" w:type="dxa"/>
              <w:right w:w="53" w:type="dxa"/>
            </w:tcMar>
          </w:tcPr>
          <w:p w14:paraId="100F7B74" w14:textId="77777777"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 xml:space="preserve">Président-directeur du conseil d’administration </w:t>
            </w:r>
          </w:p>
          <w:p w14:paraId="44BE9689" w14:textId="77777777" w:rsidR="005608E8"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Les Aliments Maple Leaf Inc. (de mai 2023 à aujourd’hui)</w:t>
            </w:r>
          </w:p>
          <w:p w14:paraId="3CFFD34E" w14:textId="0FA209EB" w:rsidR="005608E8" w:rsidRPr="007D4280" w:rsidRDefault="005608E8" w:rsidP="005608E8">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Président exécutif et chef de la direction (de mai 2022 à mai 2023)</w:t>
            </w:r>
            <w:r w:rsidRPr="007D4280">
              <w:rPr>
                <w:rFonts w:ascii="Arial" w:hAnsi="Arial"/>
                <w:sz w:val="16"/>
              </w:rPr>
              <w:br/>
              <w:t>Président et chef de la direction (de janvier 1999 à mai 2022)</w:t>
            </w:r>
          </w:p>
        </w:tc>
      </w:tr>
      <w:tr w:rsidR="001E3511" w:rsidRPr="007D4280" w14:paraId="3A86B9F3" w14:textId="77777777" w:rsidTr="00BD7E95">
        <w:trPr>
          <w:cantSplit/>
          <w:trHeight w:val="20"/>
        </w:trPr>
        <w:tc>
          <w:tcPr>
            <w:tcW w:w="3595" w:type="dxa"/>
            <w:shd w:val="clear" w:color="auto" w:fill="FFFFFF" w:themeFill="background1"/>
            <w:tcMar>
              <w:top w:w="0" w:type="dxa"/>
              <w:left w:w="53" w:type="dxa"/>
              <w:bottom w:w="0" w:type="dxa"/>
              <w:right w:w="53" w:type="dxa"/>
            </w:tcMar>
          </w:tcPr>
          <w:p w14:paraId="4499A580" w14:textId="77777777" w:rsidR="00555529" w:rsidRPr="007D4280" w:rsidRDefault="00152032" w:rsidP="00C11919">
            <w:pPr>
              <w:keepNext/>
              <w:tabs>
                <w:tab w:val="left" w:pos="9360"/>
              </w:tabs>
              <w:spacing w:line="300" w:lineRule="auto"/>
              <w:ind w:left="40"/>
              <w:rPr>
                <w:rFonts w:ascii="Arial" w:eastAsia="Arial" w:hAnsi="Arial" w:cs="Arial"/>
                <w:sz w:val="16"/>
                <w:szCs w:val="16"/>
                <w:vertAlign w:val="superscript"/>
              </w:rPr>
            </w:pPr>
            <w:r w:rsidRPr="007D4280">
              <w:rPr>
                <w:rFonts w:ascii="Arial" w:hAnsi="Arial"/>
                <w:sz w:val="16"/>
              </w:rPr>
              <w:t>Beth Newlands Campbell</w:t>
            </w:r>
            <w:r w:rsidRPr="007D4280">
              <w:rPr>
                <w:rFonts w:ascii="Arial" w:hAnsi="Arial"/>
                <w:sz w:val="16"/>
                <w:vertAlign w:val="superscript"/>
              </w:rPr>
              <w:t>2) 3)</w:t>
            </w:r>
          </w:p>
          <w:p w14:paraId="556EEA6D" w14:textId="77777777" w:rsidR="00555529" w:rsidRPr="007D4280" w:rsidRDefault="00152032" w:rsidP="00C11919">
            <w:pPr>
              <w:keepNext/>
              <w:tabs>
                <w:tab w:val="left" w:pos="9360"/>
              </w:tabs>
              <w:spacing w:line="300" w:lineRule="auto"/>
              <w:ind w:left="40"/>
              <w:rPr>
                <w:rFonts w:ascii="Arial" w:eastAsia="Arial" w:hAnsi="Arial" w:cs="Arial"/>
                <w:sz w:val="16"/>
                <w:szCs w:val="16"/>
              </w:rPr>
            </w:pPr>
            <w:r w:rsidRPr="007D4280">
              <w:rPr>
                <w:rFonts w:ascii="Arial" w:hAnsi="Arial"/>
                <w:sz w:val="16"/>
              </w:rPr>
              <w:t>Cape Elizabeth (Maine) États-Unis</w:t>
            </w:r>
          </w:p>
        </w:tc>
        <w:tc>
          <w:tcPr>
            <w:tcW w:w="1178" w:type="dxa"/>
            <w:shd w:val="clear" w:color="auto" w:fill="FFFFFF" w:themeFill="background1"/>
            <w:tcMar>
              <w:top w:w="0" w:type="dxa"/>
              <w:left w:w="53" w:type="dxa"/>
              <w:bottom w:w="0" w:type="dxa"/>
              <w:right w:w="53" w:type="dxa"/>
            </w:tcMar>
          </w:tcPr>
          <w:p w14:paraId="1B244A04" w14:textId="77777777" w:rsidR="00555529" w:rsidRPr="007D4280" w:rsidRDefault="00152032" w:rsidP="00C11919">
            <w:pPr>
              <w:keepNext/>
              <w:spacing w:line="300" w:lineRule="auto"/>
              <w:jc w:val="center"/>
              <w:rPr>
                <w:rFonts w:ascii="Arial" w:eastAsia="Arial" w:hAnsi="Arial" w:cs="Arial"/>
                <w:color w:val="000000"/>
                <w:sz w:val="16"/>
                <w:szCs w:val="16"/>
              </w:rPr>
            </w:pPr>
            <w:r w:rsidRPr="007D4280">
              <w:rPr>
                <w:rFonts w:ascii="Arial" w:hAnsi="Arial"/>
                <w:sz w:val="16"/>
              </w:rPr>
              <w:t>2023</w:t>
            </w:r>
          </w:p>
        </w:tc>
        <w:tc>
          <w:tcPr>
            <w:tcW w:w="4575" w:type="dxa"/>
            <w:shd w:val="clear" w:color="auto" w:fill="FFFFFF" w:themeFill="background1"/>
            <w:tcMar>
              <w:top w:w="0" w:type="dxa"/>
              <w:left w:w="53" w:type="dxa"/>
              <w:bottom w:w="0" w:type="dxa"/>
              <w:right w:w="53" w:type="dxa"/>
            </w:tcMar>
          </w:tcPr>
          <w:p w14:paraId="5A383CF0" w14:textId="77777777" w:rsidR="00555529" w:rsidRPr="007D4280" w:rsidRDefault="00152032" w:rsidP="00C11919">
            <w:pPr>
              <w:keepNext/>
              <w:tabs>
                <w:tab w:val="left" w:pos="3630"/>
                <w:tab w:val="left" w:pos="9360"/>
              </w:tabs>
              <w:spacing w:line="300" w:lineRule="auto"/>
              <w:ind w:left="40" w:right="841"/>
              <w:rPr>
                <w:rFonts w:ascii="Arial" w:eastAsia="Arial" w:hAnsi="Arial" w:cs="Arial"/>
                <w:sz w:val="16"/>
                <w:szCs w:val="16"/>
              </w:rPr>
            </w:pPr>
            <w:r w:rsidRPr="007D4280">
              <w:rPr>
                <w:rFonts w:ascii="Arial" w:hAnsi="Arial"/>
                <w:sz w:val="16"/>
              </w:rPr>
              <w:t>Administratrice de sociétés</w:t>
            </w:r>
          </w:p>
        </w:tc>
      </w:tr>
    </w:tbl>
    <w:p w14:paraId="5D98754B" w14:textId="77777777" w:rsidR="00555529" w:rsidRPr="007D4280" w:rsidRDefault="00152032" w:rsidP="002729E0">
      <w:pPr>
        <w:spacing w:before="120" w:line="300" w:lineRule="auto"/>
        <w:ind w:left="720"/>
        <w:rPr>
          <w:rFonts w:ascii="Arial" w:eastAsia="Arial" w:hAnsi="Arial" w:cs="Arial"/>
          <w:sz w:val="16"/>
          <w:szCs w:val="16"/>
        </w:rPr>
      </w:pPr>
      <w:r w:rsidRPr="007D4280">
        <w:rPr>
          <w:rFonts w:ascii="Arial" w:hAnsi="Arial"/>
          <w:b/>
          <w:sz w:val="16"/>
        </w:rPr>
        <w:t>Remarques :</w:t>
      </w:r>
    </w:p>
    <w:p w14:paraId="3CD8AC2B" w14:textId="77777777" w:rsidR="00555529" w:rsidRPr="007D4280" w:rsidRDefault="00152032" w:rsidP="00555529">
      <w:pPr>
        <w:tabs>
          <w:tab w:val="left" w:pos="1080"/>
        </w:tabs>
        <w:spacing w:line="300" w:lineRule="auto"/>
        <w:ind w:left="720"/>
        <w:rPr>
          <w:rFonts w:ascii="Arial" w:eastAsia="Arial" w:hAnsi="Arial" w:cs="Arial"/>
          <w:sz w:val="16"/>
          <w:szCs w:val="16"/>
        </w:rPr>
      </w:pPr>
      <w:r w:rsidRPr="007D4280">
        <w:rPr>
          <w:rFonts w:ascii="Arial" w:hAnsi="Arial"/>
          <w:sz w:val="16"/>
        </w:rPr>
        <w:t>1)</w:t>
      </w:r>
      <w:r w:rsidRPr="007D4280">
        <w:rPr>
          <w:rFonts w:ascii="Arial" w:hAnsi="Arial"/>
          <w:sz w:val="16"/>
        </w:rPr>
        <w:tab/>
        <w:t>Membre du comité d’audit, dont M. Aziz est le président.</w:t>
      </w:r>
    </w:p>
    <w:p w14:paraId="5F51B301" w14:textId="77777777" w:rsidR="00555529" w:rsidRPr="007D4280" w:rsidRDefault="00152032" w:rsidP="00555529">
      <w:pPr>
        <w:tabs>
          <w:tab w:val="left" w:pos="1080"/>
        </w:tabs>
        <w:spacing w:line="300" w:lineRule="auto"/>
        <w:ind w:left="720"/>
        <w:rPr>
          <w:rFonts w:ascii="Arial" w:eastAsia="Arial" w:hAnsi="Arial" w:cs="Arial"/>
          <w:sz w:val="16"/>
          <w:szCs w:val="16"/>
        </w:rPr>
      </w:pPr>
      <w:r w:rsidRPr="007D4280">
        <w:rPr>
          <w:rFonts w:ascii="Arial" w:hAnsi="Arial"/>
          <w:sz w:val="16"/>
        </w:rPr>
        <w:t>2)</w:t>
      </w:r>
      <w:r w:rsidRPr="007D4280">
        <w:rPr>
          <w:rFonts w:ascii="Arial" w:hAnsi="Arial"/>
          <w:sz w:val="16"/>
        </w:rPr>
        <w:tab/>
        <w:t>Membre du comité de gouvernance d’entreprise, dont M. Hayes est le président.</w:t>
      </w:r>
    </w:p>
    <w:p w14:paraId="5C4D0ED8" w14:textId="77777777" w:rsidR="00555529" w:rsidRPr="007D4280" w:rsidRDefault="00152032" w:rsidP="00555529">
      <w:pPr>
        <w:tabs>
          <w:tab w:val="left" w:pos="1080"/>
        </w:tabs>
        <w:spacing w:line="300" w:lineRule="auto"/>
        <w:ind w:left="720"/>
        <w:rPr>
          <w:rFonts w:ascii="Arial" w:eastAsia="Arial" w:hAnsi="Arial" w:cs="Arial"/>
          <w:sz w:val="16"/>
          <w:szCs w:val="16"/>
        </w:rPr>
      </w:pPr>
      <w:r w:rsidRPr="007D4280">
        <w:rPr>
          <w:rFonts w:ascii="Arial" w:hAnsi="Arial"/>
          <w:sz w:val="16"/>
        </w:rPr>
        <w:t>3)</w:t>
      </w:r>
      <w:r w:rsidRPr="007D4280">
        <w:rPr>
          <w:rFonts w:ascii="Arial" w:hAnsi="Arial"/>
          <w:sz w:val="16"/>
        </w:rPr>
        <w:tab/>
        <w:t>Membre du comité de sécurité et durabilité, dont M</w:t>
      </w:r>
      <w:r w:rsidRPr="007D4280">
        <w:rPr>
          <w:rFonts w:ascii="Arial" w:hAnsi="Arial"/>
          <w:sz w:val="16"/>
          <w:vertAlign w:val="superscript"/>
        </w:rPr>
        <w:t>me</w:t>
      </w:r>
      <w:r w:rsidRPr="007D4280">
        <w:rPr>
          <w:rFonts w:ascii="Arial" w:hAnsi="Arial"/>
          <w:sz w:val="16"/>
        </w:rPr>
        <w:t> Lemon est la présidente.</w:t>
      </w:r>
    </w:p>
    <w:p w14:paraId="133F5A60" w14:textId="77777777" w:rsidR="00555529" w:rsidRPr="007D4280" w:rsidRDefault="00152032" w:rsidP="00555529">
      <w:pPr>
        <w:tabs>
          <w:tab w:val="left" w:pos="1080"/>
        </w:tabs>
        <w:spacing w:line="300" w:lineRule="auto"/>
        <w:ind w:left="720"/>
        <w:rPr>
          <w:rFonts w:ascii="Arial" w:eastAsia="Arial" w:hAnsi="Arial" w:cs="Arial"/>
          <w:sz w:val="16"/>
          <w:szCs w:val="16"/>
        </w:rPr>
      </w:pPr>
      <w:r w:rsidRPr="007D4280">
        <w:rPr>
          <w:rFonts w:ascii="Arial" w:hAnsi="Arial"/>
          <w:sz w:val="16"/>
        </w:rPr>
        <w:t>4)</w:t>
      </w:r>
      <w:r w:rsidRPr="007D4280">
        <w:rPr>
          <w:rFonts w:ascii="Arial" w:hAnsi="Arial"/>
          <w:sz w:val="16"/>
        </w:rPr>
        <w:tab/>
        <w:t>Membre du comité des ressources humaines et de la rémunération, dont M. Close est le président.</w:t>
      </w:r>
    </w:p>
    <w:p w14:paraId="007AC98E" w14:textId="77777777" w:rsidR="00555529" w:rsidRPr="007D4280" w:rsidRDefault="00152032" w:rsidP="00BD7E95">
      <w:pPr>
        <w:tabs>
          <w:tab w:val="left" w:pos="1080"/>
        </w:tabs>
        <w:spacing w:after="240" w:line="300" w:lineRule="auto"/>
        <w:ind w:left="720"/>
        <w:rPr>
          <w:rFonts w:ascii="Arial" w:eastAsia="Arial" w:hAnsi="Arial" w:cs="Arial"/>
          <w:sz w:val="16"/>
          <w:szCs w:val="16"/>
        </w:rPr>
      </w:pPr>
      <w:r w:rsidRPr="007D4280">
        <w:rPr>
          <w:rFonts w:ascii="Arial" w:hAnsi="Arial"/>
          <w:sz w:val="16"/>
        </w:rPr>
        <w:t>5)</w:t>
      </w:r>
      <w:r w:rsidRPr="007D4280">
        <w:rPr>
          <w:rFonts w:ascii="Arial" w:hAnsi="Arial"/>
          <w:sz w:val="16"/>
        </w:rPr>
        <w:tab/>
        <w:t>M. Hayes est l’administrateur indépendant principal.</w:t>
      </w:r>
    </w:p>
    <w:p w14:paraId="7DB2EBC9" w14:textId="7BF483CF" w:rsidR="00555529" w:rsidRPr="007D4280" w:rsidRDefault="00152032" w:rsidP="00BD7E95">
      <w:pPr>
        <w:widowControl w:val="0"/>
        <w:spacing w:after="120" w:line="300" w:lineRule="auto"/>
        <w:rPr>
          <w:rFonts w:ascii="Arial" w:eastAsia="Arial" w:hAnsi="Arial" w:cs="Arial"/>
          <w:b/>
          <w:sz w:val="18"/>
          <w:shd w:val="clear" w:color="auto" w:fill="FFFF00"/>
        </w:rPr>
      </w:pPr>
      <w:r w:rsidRPr="007D4280">
        <w:rPr>
          <w:rFonts w:ascii="Arial" w:hAnsi="Arial"/>
          <w:i/>
          <w:sz w:val="18"/>
        </w:rPr>
        <w:t>Comités du conseil d’administration</w:t>
      </w:r>
    </w:p>
    <w:p w14:paraId="540C841A" w14:textId="77777777" w:rsidR="00555529" w:rsidRPr="007D4280" w:rsidRDefault="00152032" w:rsidP="00BD7E95">
      <w:pPr>
        <w:widowControl w:val="0"/>
        <w:spacing w:after="120" w:line="300" w:lineRule="auto"/>
        <w:rPr>
          <w:rFonts w:ascii="Arial" w:eastAsia="Arial" w:hAnsi="Arial" w:cs="Arial"/>
          <w:sz w:val="18"/>
        </w:rPr>
      </w:pPr>
      <w:r w:rsidRPr="007D4280">
        <w:rPr>
          <w:rFonts w:ascii="Arial" w:hAnsi="Arial"/>
          <w:sz w:val="18"/>
        </w:rPr>
        <w:t>Le tableau ci-dessous indique le nom des membres et des présidents actuels des comités du conseil d’administration, ainsi que l’année au cours de laquelle ils ont été nommés.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3685"/>
        <w:gridCol w:w="1170"/>
        <w:gridCol w:w="3510"/>
        <w:gridCol w:w="985"/>
      </w:tblGrid>
      <w:tr w:rsidR="001E3511" w:rsidRPr="007D4280" w14:paraId="67C72CB3" w14:textId="77777777" w:rsidTr="00C11919">
        <w:tc>
          <w:tcPr>
            <w:tcW w:w="3685" w:type="dxa"/>
            <w:shd w:val="clear" w:color="auto" w:fill="FFFFFF" w:themeFill="background1"/>
          </w:tcPr>
          <w:p w14:paraId="7F34B155" w14:textId="77777777" w:rsidR="00555529" w:rsidRPr="007D4280" w:rsidRDefault="00152032" w:rsidP="00BD7E95">
            <w:pPr>
              <w:widowControl w:val="0"/>
              <w:spacing w:after="120" w:line="300" w:lineRule="auto"/>
              <w:rPr>
                <w:rFonts w:ascii="Arial" w:eastAsia="Arial" w:hAnsi="Arial" w:cs="Arial"/>
                <w:b/>
                <w:bCs/>
                <w:sz w:val="16"/>
                <w:szCs w:val="16"/>
              </w:rPr>
            </w:pPr>
            <w:r w:rsidRPr="007D4280">
              <w:rPr>
                <w:rFonts w:ascii="Arial" w:hAnsi="Arial"/>
                <w:b/>
                <w:sz w:val="16"/>
              </w:rPr>
              <w:t>Comité d’audit</w:t>
            </w:r>
          </w:p>
        </w:tc>
        <w:tc>
          <w:tcPr>
            <w:tcW w:w="1170" w:type="dxa"/>
            <w:shd w:val="clear" w:color="auto" w:fill="FFFFFF" w:themeFill="background1"/>
          </w:tcPr>
          <w:p w14:paraId="23840C8E" w14:textId="77777777" w:rsidR="00555529" w:rsidRPr="007D4280" w:rsidRDefault="00152032" w:rsidP="00BD7E95">
            <w:pPr>
              <w:widowControl w:val="0"/>
              <w:spacing w:after="120" w:line="300" w:lineRule="auto"/>
              <w:jc w:val="center"/>
              <w:rPr>
                <w:rFonts w:ascii="Arial" w:eastAsia="Arial" w:hAnsi="Arial" w:cs="Arial"/>
                <w:b/>
                <w:bCs/>
                <w:sz w:val="16"/>
                <w:szCs w:val="16"/>
              </w:rPr>
            </w:pPr>
            <w:r w:rsidRPr="007D4280">
              <w:rPr>
                <w:rFonts w:ascii="Arial" w:hAnsi="Arial"/>
                <w:b/>
                <w:sz w:val="16"/>
              </w:rPr>
              <w:t>Membre depuis</w:t>
            </w:r>
          </w:p>
        </w:tc>
        <w:tc>
          <w:tcPr>
            <w:tcW w:w="3510" w:type="dxa"/>
            <w:shd w:val="clear" w:color="auto" w:fill="FFFFFF" w:themeFill="background1"/>
          </w:tcPr>
          <w:p w14:paraId="1BE27509" w14:textId="77777777" w:rsidR="00555529" w:rsidRPr="007D4280" w:rsidRDefault="00152032" w:rsidP="00BD7E95">
            <w:pPr>
              <w:widowControl w:val="0"/>
              <w:spacing w:after="120" w:line="300" w:lineRule="auto"/>
              <w:rPr>
                <w:rFonts w:ascii="Arial" w:eastAsia="Arial" w:hAnsi="Arial" w:cs="Arial"/>
                <w:b/>
                <w:bCs/>
                <w:sz w:val="16"/>
                <w:szCs w:val="16"/>
              </w:rPr>
            </w:pPr>
            <w:r w:rsidRPr="007D4280">
              <w:rPr>
                <w:rFonts w:ascii="Arial" w:hAnsi="Arial"/>
                <w:b/>
                <w:sz w:val="16"/>
              </w:rPr>
              <w:t>Comité de sécurité et durabilité</w:t>
            </w:r>
          </w:p>
        </w:tc>
        <w:tc>
          <w:tcPr>
            <w:tcW w:w="985" w:type="dxa"/>
            <w:shd w:val="clear" w:color="auto" w:fill="FFFFFF" w:themeFill="background1"/>
          </w:tcPr>
          <w:p w14:paraId="59B09EC1" w14:textId="77777777" w:rsidR="00555529" w:rsidRPr="007D4280" w:rsidRDefault="00152032" w:rsidP="00BD7E95">
            <w:pPr>
              <w:widowControl w:val="0"/>
              <w:spacing w:after="120" w:line="300" w:lineRule="auto"/>
              <w:jc w:val="center"/>
              <w:rPr>
                <w:rFonts w:ascii="Arial" w:eastAsia="Arial" w:hAnsi="Arial" w:cs="Arial"/>
                <w:b/>
                <w:bCs/>
                <w:sz w:val="16"/>
                <w:szCs w:val="16"/>
              </w:rPr>
            </w:pPr>
            <w:r w:rsidRPr="007D4280">
              <w:rPr>
                <w:rFonts w:ascii="Arial" w:hAnsi="Arial"/>
                <w:b/>
                <w:sz w:val="16"/>
              </w:rPr>
              <w:t>Membre depuis</w:t>
            </w:r>
          </w:p>
        </w:tc>
      </w:tr>
      <w:tr w:rsidR="001E3511" w:rsidRPr="007D4280" w14:paraId="5CDD72F5" w14:textId="77777777" w:rsidTr="00C11919">
        <w:tc>
          <w:tcPr>
            <w:tcW w:w="3685" w:type="dxa"/>
            <w:shd w:val="clear" w:color="auto" w:fill="FFFFFF" w:themeFill="background1"/>
          </w:tcPr>
          <w:p w14:paraId="5F0AC005" w14:textId="77777777" w:rsidR="00555529" w:rsidRPr="007D4280" w:rsidRDefault="00152032" w:rsidP="00BD7E95">
            <w:pPr>
              <w:widowControl w:val="0"/>
              <w:spacing w:after="120" w:line="300" w:lineRule="auto"/>
              <w:rPr>
                <w:rFonts w:ascii="Arial" w:eastAsia="Arial" w:hAnsi="Arial" w:cs="Arial"/>
                <w:sz w:val="16"/>
                <w:szCs w:val="16"/>
              </w:rPr>
            </w:pPr>
            <w:r w:rsidRPr="007D4280">
              <w:rPr>
                <w:rFonts w:ascii="Arial" w:hAnsi="Arial"/>
                <w:color w:val="000000"/>
                <w:sz w:val="16"/>
              </w:rPr>
              <w:t>W.E. Aziz (président depuis 2015)</w:t>
            </w:r>
          </w:p>
        </w:tc>
        <w:tc>
          <w:tcPr>
            <w:tcW w:w="1170" w:type="dxa"/>
            <w:shd w:val="clear" w:color="auto" w:fill="FFFFFF" w:themeFill="background1"/>
          </w:tcPr>
          <w:p w14:paraId="3A75565C"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2014</w:t>
            </w:r>
          </w:p>
        </w:tc>
        <w:tc>
          <w:tcPr>
            <w:tcW w:w="3510" w:type="dxa"/>
            <w:shd w:val="clear" w:color="auto" w:fill="FFFFFF" w:themeFill="background1"/>
          </w:tcPr>
          <w:p w14:paraId="427ED965" w14:textId="77777777" w:rsidR="00555529" w:rsidRPr="007D4280" w:rsidRDefault="00152032" w:rsidP="00BD7E95">
            <w:pPr>
              <w:widowControl w:val="0"/>
              <w:spacing w:after="120" w:line="300" w:lineRule="auto"/>
              <w:rPr>
                <w:rFonts w:ascii="Arial" w:eastAsia="Arial" w:hAnsi="Arial" w:cs="Arial"/>
                <w:sz w:val="16"/>
                <w:szCs w:val="16"/>
              </w:rPr>
            </w:pPr>
            <w:r w:rsidRPr="007D4280">
              <w:rPr>
                <w:rFonts w:ascii="Arial" w:hAnsi="Arial"/>
                <w:color w:val="000000"/>
                <w:sz w:val="16"/>
              </w:rPr>
              <w:t>K.N. Lemon (présidente depuis 2023)</w:t>
            </w:r>
          </w:p>
        </w:tc>
        <w:tc>
          <w:tcPr>
            <w:tcW w:w="985" w:type="dxa"/>
            <w:shd w:val="clear" w:color="auto" w:fill="FFFFFF" w:themeFill="background1"/>
          </w:tcPr>
          <w:p w14:paraId="1766C698"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2018</w:t>
            </w:r>
          </w:p>
        </w:tc>
      </w:tr>
      <w:tr w:rsidR="001E3511" w:rsidRPr="007D4280" w14:paraId="08EE67FB" w14:textId="77777777" w:rsidTr="00C11919">
        <w:tc>
          <w:tcPr>
            <w:tcW w:w="3685" w:type="dxa"/>
            <w:shd w:val="clear" w:color="auto" w:fill="FFFFFF" w:themeFill="background1"/>
          </w:tcPr>
          <w:p w14:paraId="3690149F"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F. Khan</w:t>
            </w:r>
          </w:p>
        </w:tc>
        <w:tc>
          <w:tcPr>
            <w:tcW w:w="1170" w:type="dxa"/>
            <w:shd w:val="clear" w:color="auto" w:fill="FFFFFF" w:themeFill="background1"/>
          </w:tcPr>
          <w:p w14:paraId="5073D5A7"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2024</w:t>
            </w:r>
          </w:p>
        </w:tc>
        <w:tc>
          <w:tcPr>
            <w:tcW w:w="3510" w:type="dxa"/>
            <w:shd w:val="clear" w:color="auto" w:fill="FFFFFF" w:themeFill="background1"/>
          </w:tcPr>
          <w:p w14:paraId="06D842DC"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F. Khan</w:t>
            </w:r>
          </w:p>
        </w:tc>
        <w:tc>
          <w:tcPr>
            <w:tcW w:w="985" w:type="dxa"/>
            <w:shd w:val="clear" w:color="auto" w:fill="FFFFFF" w:themeFill="background1"/>
          </w:tcPr>
          <w:p w14:paraId="3189A792"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2024</w:t>
            </w:r>
          </w:p>
        </w:tc>
      </w:tr>
      <w:tr w:rsidR="001E3511" w:rsidRPr="007D4280" w14:paraId="7FFED3AF" w14:textId="77777777" w:rsidTr="00C11919">
        <w:tc>
          <w:tcPr>
            <w:tcW w:w="3685" w:type="dxa"/>
            <w:shd w:val="clear" w:color="auto" w:fill="FFFFFF" w:themeFill="background1"/>
          </w:tcPr>
          <w:p w14:paraId="3D17B6CA"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K.N. Lemon</w:t>
            </w:r>
          </w:p>
        </w:tc>
        <w:tc>
          <w:tcPr>
            <w:tcW w:w="1170" w:type="dxa"/>
            <w:shd w:val="clear" w:color="auto" w:fill="FFFFFF" w:themeFill="background1"/>
          </w:tcPr>
          <w:p w14:paraId="51CC3C79"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2018</w:t>
            </w:r>
          </w:p>
        </w:tc>
        <w:tc>
          <w:tcPr>
            <w:tcW w:w="3510" w:type="dxa"/>
            <w:shd w:val="clear" w:color="auto" w:fill="FFFFFF" w:themeFill="background1"/>
          </w:tcPr>
          <w:p w14:paraId="2338C6AD" w14:textId="77777777" w:rsidR="00555529" w:rsidRPr="007D4280" w:rsidRDefault="00152032" w:rsidP="00BD7E95">
            <w:pPr>
              <w:widowControl w:val="0"/>
              <w:spacing w:after="120" w:line="300" w:lineRule="auto"/>
              <w:rPr>
                <w:rFonts w:ascii="Arial" w:eastAsia="Arial" w:hAnsi="Arial" w:cs="Arial"/>
                <w:sz w:val="16"/>
                <w:szCs w:val="16"/>
              </w:rPr>
            </w:pPr>
            <w:r w:rsidRPr="007D4280">
              <w:rPr>
                <w:rFonts w:ascii="Arial" w:hAnsi="Arial"/>
                <w:color w:val="000000"/>
                <w:sz w:val="16"/>
              </w:rPr>
              <w:t>J.W.F. McCain</w:t>
            </w:r>
          </w:p>
        </w:tc>
        <w:tc>
          <w:tcPr>
            <w:tcW w:w="985" w:type="dxa"/>
            <w:shd w:val="clear" w:color="auto" w:fill="FFFFFF" w:themeFill="background1"/>
          </w:tcPr>
          <w:p w14:paraId="542A90B8"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2018</w:t>
            </w:r>
          </w:p>
        </w:tc>
      </w:tr>
      <w:tr w:rsidR="001E3511" w:rsidRPr="007D4280" w14:paraId="60E81D63" w14:textId="77777777" w:rsidTr="00C11919">
        <w:tc>
          <w:tcPr>
            <w:tcW w:w="3685" w:type="dxa"/>
            <w:shd w:val="clear" w:color="auto" w:fill="FFFFFF" w:themeFill="background1"/>
          </w:tcPr>
          <w:p w14:paraId="6E0BCF8A" w14:textId="77777777" w:rsidR="00555529" w:rsidRPr="007D4280" w:rsidRDefault="00152032" w:rsidP="00BD7E95">
            <w:pPr>
              <w:widowControl w:val="0"/>
              <w:spacing w:after="120" w:line="300" w:lineRule="auto"/>
              <w:rPr>
                <w:rFonts w:ascii="Arial" w:eastAsia="Arial" w:hAnsi="Arial" w:cs="Arial"/>
                <w:sz w:val="16"/>
                <w:szCs w:val="16"/>
              </w:rPr>
            </w:pPr>
            <w:r w:rsidRPr="007D4280">
              <w:rPr>
                <w:rFonts w:ascii="Arial" w:hAnsi="Arial"/>
                <w:sz w:val="16"/>
              </w:rPr>
              <w:t>A.G. Macdonald</w:t>
            </w:r>
          </w:p>
        </w:tc>
        <w:tc>
          <w:tcPr>
            <w:tcW w:w="1170" w:type="dxa"/>
            <w:shd w:val="clear" w:color="auto" w:fill="FFFFFF" w:themeFill="background1"/>
          </w:tcPr>
          <w:p w14:paraId="5625E1C9"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2023</w:t>
            </w:r>
          </w:p>
        </w:tc>
        <w:tc>
          <w:tcPr>
            <w:tcW w:w="3510" w:type="dxa"/>
            <w:shd w:val="clear" w:color="auto" w:fill="FFFFFF" w:themeFill="background1"/>
          </w:tcPr>
          <w:p w14:paraId="0653B138" w14:textId="77777777" w:rsidR="00555529" w:rsidRPr="007D4280" w:rsidRDefault="00152032" w:rsidP="00BD7E95">
            <w:pPr>
              <w:widowControl w:val="0"/>
              <w:spacing w:after="120" w:line="300" w:lineRule="auto"/>
              <w:rPr>
                <w:rFonts w:ascii="Arial" w:eastAsia="Arial" w:hAnsi="Arial" w:cs="Arial"/>
                <w:sz w:val="16"/>
                <w:szCs w:val="16"/>
              </w:rPr>
            </w:pPr>
            <w:r w:rsidRPr="007D4280">
              <w:rPr>
                <w:rFonts w:ascii="Arial" w:hAnsi="Arial"/>
                <w:color w:val="000000"/>
                <w:sz w:val="16"/>
              </w:rPr>
              <w:t>B. Newlands Campbell</w:t>
            </w:r>
          </w:p>
        </w:tc>
        <w:tc>
          <w:tcPr>
            <w:tcW w:w="985" w:type="dxa"/>
            <w:shd w:val="clear" w:color="auto" w:fill="FFFFFF" w:themeFill="background1"/>
          </w:tcPr>
          <w:p w14:paraId="53C2529C"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2023</w:t>
            </w:r>
          </w:p>
        </w:tc>
      </w:tr>
      <w:tr w:rsidR="001E3511" w:rsidRPr="007D4280" w14:paraId="30211B39" w14:textId="77777777" w:rsidTr="00C11919">
        <w:trPr>
          <w:trHeight w:val="20"/>
        </w:trPr>
        <w:tc>
          <w:tcPr>
            <w:tcW w:w="3685" w:type="dxa"/>
            <w:shd w:val="clear" w:color="auto" w:fill="FFFFFF" w:themeFill="background1"/>
          </w:tcPr>
          <w:p w14:paraId="43BC3C53"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L. Mantia</w:t>
            </w:r>
          </w:p>
        </w:tc>
        <w:tc>
          <w:tcPr>
            <w:tcW w:w="1170" w:type="dxa"/>
            <w:shd w:val="clear" w:color="auto" w:fill="FFFFFF" w:themeFill="background1"/>
          </w:tcPr>
          <w:p w14:paraId="2763226E"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2023</w:t>
            </w:r>
          </w:p>
        </w:tc>
        <w:tc>
          <w:tcPr>
            <w:tcW w:w="3510" w:type="dxa"/>
            <w:shd w:val="clear" w:color="auto" w:fill="FFFFFF" w:themeFill="background1"/>
          </w:tcPr>
          <w:p w14:paraId="212CAD7B" w14:textId="77777777" w:rsidR="00555529" w:rsidRPr="007D4280" w:rsidRDefault="00555529" w:rsidP="00BD7E95">
            <w:pPr>
              <w:widowControl w:val="0"/>
              <w:spacing w:after="120" w:line="300" w:lineRule="auto"/>
              <w:rPr>
                <w:rFonts w:ascii="Arial" w:eastAsia="Arial" w:hAnsi="Arial" w:cs="Arial"/>
                <w:sz w:val="16"/>
                <w:szCs w:val="16"/>
              </w:rPr>
            </w:pPr>
          </w:p>
        </w:tc>
        <w:tc>
          <w:tcPr>
            <w:tcW w:w="985" w:type="dxa"/>
            <w:shd w:val="clear" w:color="auto" w:fill="FFFFFF" w:themeFill="background1"/>
          </w:tcPr>
          <w:p w14:paraId="4A080127" w14:textId="77777777" w:rsidR="00555529" w:rsidRPr="007D4280" w:rsidRDefault="00555529" w:rsidP="00BD7E95">
            <w:pPr>
              <w:widowControl w:val="0"/>
              <w:spacing w:after="120" w:line="300" w:lineRule="auto"/>
              <w:jc w:val="center"/>
              <w:rPr>
                <w:rFonts w:ascii="Arial" w:eastAsia="Arial" w:hAnsi="Arial" w:cs="Arial"/>
                <w:sz w:val="16"/>
                <w:szCs w:val="16"/>
              </w:rPr>
            </w:pPr>
          </w:p>
        </w:tc>
      </w:tr>
      <w:tr w:rsidR="001E3511" w:rsidRPr="007D4280" w14:paraId="03327791" w14:textId="77777777" w:rsidTr="00C11919">
        <w:tc>
          <w:tcPr>
            <w:tcW w:w="3685" w:type="dxa"/>
            <w:shd w:val="clear" w:color="auto" w:fill="FFFFFF" w:themeFill="background1"/>
          </w:tcPr>
          <w:p w14:paraId="011E1C53" w14:textId="77777777" w:rsidR="00555529" w:rsidRPr="007D4280" w:rsidRDefault="00152032" w:rsidP="00BD7E95">
            <w:pPr>
              <w:widowControl w:val="0"/>
              <w:spacing w:after="120" w:line="300" w:lineRule="auto"/>
              <w:rPr>
                <w:rFonts w:ascii="Arial" w:eastAsia="Arial" w:hAnsi="Arial" w:cs="Arial"/>
                <w:b/>
                <w:bCs/>
                <w:color w:val="000000"/>
                <w:sz w:val="16"/>
                <w:szCs w:val="16"/>
              </w:rPr>
            </w:pPr>
            <w:r w:rsidRPr="007D4280">
              <w:rPr>
                <w:rFonts w:ascii="Arial" w:hAnsi="Arial"/>
                <w:b/>
                <w:color w:val="000000"/>
                <w:sz w:val="16"/>
              </w:rPr>
              <w:t>Comité de gouvernance d’entreprise</w:t>
            </w:r>
          </w:p>
        </w:tc>
        <w:tc>
          <w:tcPr>
            <w:tcW w:w="1170" w:type="dxa"/>
            <w:shd w:val="clear" w:color="auto" w:fill="FFFFFF" w:themeFill="background1"/>
          </w:tcPr>
          <w:p w14:paraId="7B313B9E" w14:textId="77777777" w:rsidR="00555529" w:rsidRPr="007D4280" w:rsidRDefault="00152032" w:rsidP="00BD7E95">
            <w:pPr>
              <w:widowControl w:val="0"/>
              <w:spacing w:after="120" w:line="300" w:lineRule="auto"/>
              <w:jc w:val="center"/>
              <w:rPr>
                <w:rFonts w:ascii="Arial" w:eastAsia="Arial" w:hAnsi="Arial" w:cs="Arial"/>
                <w:b/>
                <w:bCs/>
                <w:sz w:val="16"/>
                <w:szCs w:val="16"/>
              </w:rPr>
            </w:pPr>
            <w:r w:rsidRPr="007D4280">
              <w:rPr>
                <w:rFonts w:ascii="Arial" w:hAnsi="Arial"/>
                <w:b/>
                <w:sz w:val="16"/>
              </w:rPr>
              <w:t>Membre depuis</w:t>
            </w:r>
          </w:p>
        </w:tc>
        <w:tc>
          <w:tcPr>
            <w:tcW w:w="3510" w:type="dxa"/>
            <w:shd w:val="clear" w:color="auto" w:fill="FFFFFF" w:themeFill="background1"/>
          </w:tcPr>
          <w:p w14:paraId="2AC927B1" w14:textId="77777777" w:rsidR="00555529" w:rsidRPr="007D4280" w:rsidRDefault="00152032" w:rsidP="00BD7E95">
            <w:pPr>
              <w:widowControl w:val="0"/>
              <w:spacing w:after="120" w:line="300" w:lineRule="auto"/>
              <w:rPr>
                <w:rFonts w:ascii="Arial" w:eastAsia="Arial" w:hAnsi="Arial" w:cs="Arial"/>
                <w:b/>
                <w:bCs/>
                <w:color w:val="000000"/>
                <w:sz w:val="16"/>
                <w:szCs w:val="16"/>
              </w:rPr>
            </w:pPr>
            <w:r w:rsidRPr="007D4280">
              <w:rPr>
                <w:rFonts w:ascii="Arial" w:hAnsi="Arial"/>
                <w:b/>
                <w:color w:val="000000"/>
                <w:sz w:val="16"/>
              </w:rPr>
              <w:t>Comité des ressources humaines et de la rémunération</w:t>
            </w:r>
          </w:p>
        </w:tc>
        <w:tc>
          <w:tcPr>
            <w:tcW w:w="985" w:type="dxa"/>
            <w:shd w:val="clear" w:color="auto" w:fill="FFFFFF" w:themeFill="background1"/>
          </w:tcPr>
          <w:p w14:paraId="02048A18" w14:textId="77777777" w:rsidR="00555529" w:rsidRPr="007D4280" w:rsidRDefault="00152032" w:rsidP="00BD7E95">
            <w:pPr>
              <w:widowControl w:val="0"/>
              <w:spacing w:after="120" w:line="300" w:lineRule="auto"/>
              <w:jc w:val="center"/>
              <w:rPr>
                <w:rFonts w:ascii="Arial" w:eastAsia="Arial" w:hAnsi="Arial" w:cs="Arial"/>
                <w:b/>
                <w:bCs/>
                <w:sz w:val="16"/>
                <w:szCs w:val="16"/>
              </w:rPr>
            </w:pPr>
            <w:r w:rsidRPr="007D4280">
              <w:rPr>
                <w:rFonts w:ascii="Arial" w:hAnsi="Arial"/>
                <w:b/>
                <w:sz w:val="16"/>
              </w:rPr>
              <w:t>Membre depuis</w:t>
            </w:r>
          </w:p>
        </w:tc>
      </w:tr>
      <w:tr w:rsidR="001E3511" w:rsidRPr="007D4280" w14:paraId="458591FB" w14:textId="77777777" w:rsidTr="00C11919">
        <w:tc>
          <w:tcPr>
            <w:tcW w:w="3685" w:type="dxa"/>
            <w:shd w:val="clear" w:color="auto" w:fill="FFFFFF" w:themeFill="background1"/>
          </w:tcPr>
          <w:p w14:paraId="422195AC"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T.P. Hayes (président depuis 2023)</w:t>
            </w:r>
          </w:p>
        </w:tc>
        <w:tc>
          <w:tcPr>
            <w:tcW w:w="1170" w:type="dxa"/>
            <w:shd w:val="clear" w:color="auto" w:fill="FFFFFF" w:themeFill="background1"/>
          </w:tcPr>
          <w:p w14:paraId="1D77C777"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2021</w:t>
            </w:r>
          </w:p>
        </w:tc>
        <w:tc>
          <w:tcPr>
            <w:tcW w:w="3510" w:type="dxa"/>
            <w:shd w:val="clear" w:color="auto" w:fill="FFFFFF" w:themeFill="background1"/>
          </w:tcPr>
          <w:p w14:paraId="172BE637"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R.G. Close (président depuis 2023)</w:t>
            </w:r>
          </w:p>
        </w:tc>
        <w:tc>
          <w:tcPr>
            <w:tcW w:w="985" w:type="dxa"/>
            <w:shd w:val="clear" w:color="auto" w:fill="FFFFFF" w:themeFill="background1"/>
          </w:tcPr>
          <w:p w14:paraId="0A2B987C"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2021</w:t>
            </w:r>
          </w:p>
        </w:tc>
      </w:tr>
      <w:tr w:rsidR="001E3511" w:rsidRPr="007D4280" w14:paraId="0A7D3E43" w14:textId="77777777" w:rsidTr="00C11919">
        <w:tc>
          <w:tcPr>
            <w:tcW w:w="3685" w:type="dxa"/>
            <w:shd w:val="clear" w:color="auto" w:fill="FFFFFF" w:themeFill="background1"/>
          </w:tcPr>
          <w:p w14:paraId="303E2838"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R.G. Close</w:t>
            </w:r>
          </w:p>
        </w:tc>
        <w:tc>
          <w:tcPr>
            <w:tcW w:w="1170" w:type="dxa"/>
            <w:shd w:val="clear" w:color="auto" w:fill="FFFFFF" w:themeFill="background1"/>
          </w:tcPr>
          <w:p w14:paraId="5B99C49C"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2015</w:t>
            </w:r>
          </w:p>
        </w:tc>
        <w:tc>
          <w:tcPr>
            <w:tcW w:w="3510" w:type="dxa"/>
            <w:shd w:val="clear" w:color="auto" w:fill="FFFFFF" w:themeFill="background1"/>
          </w:tcPr>
          <w:p w14:paraId="35186D77"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W.E. Aziz</w:t>
            </w:r>
          </w:p>
        </w:tc>
        <w:tc>
          <w:tcPr>
            <w:tcW w:w="985" w:type="dxa"/>
            <w:shd w:val="clear" w:color="auto" w:fill="FFFFFF" w:themeFill="background1"/>
          </w:tcPr>
          <w:p w14:paraId="052C2B13"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2014</w:t>
            </w:r>
          </w:p>
        </w:tc>
      </w:tr>
      <w:tr w:rsidR="001E3511" w:rsidRPr="007D4280" w14:paraId="6422AE86" w14:textId="77777777" w:rsidTr="00C11919">
        <w:tc>
          <w:tcPr>
            <w:tcW w:w="3685" w:type="dxa"/>
            <w:shd w:val="clear" w:color="auto" w:fill="FFFFFF" w:themeFill="background1"/>
          </w:tcPr>
          <w:p w14:paraId="01CA5953"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L. Mantia</w:t>
            </w:r>
          </w:p>
        </w:tc>
        <w:tc>
          <w:tcPr>
            <w:tcW w:w="1170" w:type="dxa"/>
            <w:shd w:val="clear" w:color="auto" w:fill="FFFFFF" w:themeFill="background1"/>
          </w:tcPr>
          <w:p w14:paraId="4AD1757B"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2023</w:t>
            </w:r>
          </w:p>
        </w:tc>
        <w:tc>
          <w:tcPr>
            <w:tcW w:w="3510" w:type="dxa"/>
            <w:shd w:val="clear" w:color="auto" w:fill="FFFFFF" w:themeFill="background1"/>
          </w:tcPr>
          <w:p w14:paraId="6094CF98"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T.P. Hayes</w:t>
            </w:r>
          </w:p>
        </w:tc>
        <w:tc>
          <w:tcPr>
            <w:tcW w:w="985" w:type="dxa"/>
            <w:shd w:val="clear" w:color="auto" w:fill="FFFFFF" w:themeFill="background1"/>
          </w:tcPr>
          <w:p w14:paraId="47ECD7E1"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2022</w:t>
            </w:r>
          </w:p>
        </w:tc>
      </w:tr>
      <w:tr w:rsidR="001E3511" w:rsidRPr="007D4280" w14:paraId="432D3596" w14:textId="77777777" w:rsidTr="00C11919">
        <w:tc>
          <w:tcPr>
            <w:tcW w:w="3685" w:type="dxa"/>
            <w:shd w:val="clear" w:color="auto" w:fill="FFFFFF" w:themeFill="background1"/>
          </w:tcPr>
          <w:p w14:paraId="218E3814"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color w:val="000000"/>
                <w:sz w:val="16"/>
              </w:rPr>
              <w:t>B. Newlands Campbell</w:t>
            </w:r>
          </w:p>
        </w:tc>
        <w:tc>
          <w:tcPr>
            <w:tcW w:w="1170" w:type="dxa"/>
            <w:shd w:val="clear" w:color="auto" w:fill="FFFFFF" w:themeFill="background1"/>
          </w:tcPr>
          <w:p w14:paraId="680A123B"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2023</w:t>
            </w:r>
          </w:p>
        </w:tc>
        <w:tc>
          <w:tcPr>
            <w:tcW w:w="3510" w:type="dxa"/>
            <w:shd w:val="clear" w:color="auto" w:fill="FFFFFF" w:themeFill="background1"/>
          </w:tcPr>
          <w:p w14:paraId="656A5FC3" w14:textId="77777777" w:rsidR="00555529" w:rsidRPr="007D4280" w:rsidRDefault="00152032" w:rsidP="00BD7E95">
            <w:pPr>
              <w:widowControl w:val="0"/>
              <w:spacing w:after="120" w:line="300" w:lineRule="auto"/>
              <w:rPr>
                <w:rFonts w:ascii="Arial" w:eastAsia="Arial" w:hAnsi="Arial" w:cs="Arial"/>
                <w:color w:val="000000"/>
                <w:sz w:val="16"/>
                <w:szCs w:val="16"/>
              </w:rPr>
            </w:pPr>
            <w:r w:rsidRPr="007D4280">
              <w:rPr>
                <w:rFonts w:ascii="Arial" w:hAnsi="Arial"/>
                <w:sz w:val="16"/>
              </w:rPr>
              <w:t>A.G. Macdonald</w:t>
            </w:r>
          </w:p>
        </w:tc>
        <w:tc>
          <w:tcPr>
            <w:tcW w:w="985" w:type="dxa"/>
            <w:shd w:val="clear" w:color="auto" w:fill="FFFFFF" w:themeFill="background1"/>
          </w:tcPr>
          <w:p w14:paraId="3CE89F1F" w14:textId="77777777" w:rsidR="00555529" w:rsidRPr="007D4280" w:rsidRDefault="00152032" w:rsidP="00BD7E95">
            <w:pPr>
              <w:widowControl w:val="0"/>
              <w:spacing w:after="120" w:line="300" w:lineRule="auto"/>
              <w:jc w:val="center"/>
              <w:rPr>
                <w:rFonts w:ascii="Arial" w:eastAsia="Arial" w:hAnsi="Arial" w:cs="Arial"/>
                <w:sz w:val="16"/>
                <w:szCs w:val="16"/>
              </w:rPr>
            </w:pPr>
            <w:r w:rsidRPr="007D4280">
              <w:rPr>
                <w:rFonts w:ascii="Arial" w:hAnsi="Arial"/>
                <w:sz w:val="16"/>
              </w:rPr>
              <w:t>2023</w:t>
            </w:r>
          </w:p>
        </w:tc>
      </w:tr>
    </w:tbl>
    <w:p w14:paraId="386DA6B7" w14:textId="77777777" w:rsidR="00555529" w:rsidRPr="007D4280" w:rsidRDefault="00555529" w:rsidP="00BD7E95">
      <w:pPr>
        <w:widowControl w:val="0"/>
        <w:spacing w:after="120" w:line="300" w:lineRule="auto"/>
        <w:rPr>
          <w:rFonts w:ascii="Arial" w:eastAsia="Arial" w:hAnsi="Arial" w:cs="Arial"/>
          <w:sz w:val="18"/>
        </w:rPr>
      </w:pPr>
    </w:p>
    <w:p w14:paraId="2C93CE70" w14:textId="1B40657D" w:rsidR="001765E0" w:rsidRPr="007D4280" w:rsidRDefault="00152032" w:rsidP="001765E0">
      <w:pPr>
        <w:pStyle w:val="AIF-Level2"/>
        <w:outlineLvl w:val="1"/>
      </w:pPr>
      <w:bookmarkStart w:id="62" w:name="_Toc226985991"/>
      <w:r w:rsidRPr="007D4280">
        <w:t>Membres de la haute direction</w:t>
      </w:r>
      <w:bookmarkEnd w:id="62"/>
      <w:r w:rsidRPr="007D4280">
        <w:t xml:space="preserve"> </w:t>
      </w:r>
    </w:p>
    <w:p w14:paraId="4CA9AFEC" w14:textId="5D7DD380" w:rsidR="009908C4" w:rsidRPr="007D4280" w:rsidRDefault="00152032" w:rsidP="009908C4">
      <w:pPr>
        <w:spacing w:after="120" w:line="300" w:lineRule="auto"/>
        <w:rPr>
          <w:rFonts w:ascii="Arial" w:eastAsia="Arial" w:hAnsi="Arial" w:cs="Arial"/>
          <w:sz w:val="18"/>
        </w:rPr>
      </w:pPr>
      <w:r w:rsidRPr="007D4280">
        <w:rPr>
          <w:rFonts w:ascii="Arial" w:hAnsi="Arial"/>
          <w:sz w:val="18"/>
        </w:rPr>
        <w:t>Le tableau ci-dessous indique le nom, la ville de résidence, le pays et l’occupation principale (pour les cinq dernières années) des membres de la direction de la Société et de ses principales filiales :</w:t>
      </w:r>
    </w:p>
    <w:tbl>
      <w:tblPr>
        <w:tblW w:w="93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93"/>
        <w:gridCol w:w="2907"/>
        <w:gridCol w:w="3764"/>
      </w:tblGrid>
      <w:tr w:rsidR="001E3511" w:rsidRPr="007D4280" w14:paraId="65B9CEFA" w14:textId="77777777" w:rsidTr="00CD31D8">
        <w:trPr>
          <w:cantSplit/>
          <w:trHeight w:hRule="exact" w:val="560"/>
          <w:tblHeader/>
        </w:trPr>
        <w:tc>
          <w:tcPr>
            <w:tcW w:w="2693" w:type="dxa"/>
            <w:shd w:val="clear" w:color="auto" w:fill="FFFFFF" w:themeFill="background1"/>
            <w:tcMar>
              <w:top w:w="0" w:type="dxa"/>
              <w:left w:w="53" w:type="dxa"/>
              <w:bottom w:w="0" w:type="dxa"/>
              <w:right w:w="53" w:type="dxa"/>
            </w:tcMar>
          </w:tcPr>
          <w:p w14:paraId="24CED2E4" w14:textId="77777777" w:rsidR="009908C4" w:rsidRPr="007D4280" w:rsidRDefault="00152032" w:rsidP="00CD31D8">
            <w:pPr>
              <w:spacing w:before="33" w:after="30" w:line="300" w:lineRule="auto"/>
              <w:rPr>
                <w:rFonts w:ascii="Arial" w:hAnsi="Arial" w:cs="Arial"/>
                <w:sz w:val="16"/>
                <w:szCs w:val="16"/>
              </w:rPr>
            </w:pPr>
            <w:r w:rsidRPr="007D4280">
              <w:rPr>
                <w:rFonts w:ascii="Arial" w:hAnsi="Arial"/>
                <w:b/>
                <w:color w:val="000000"/>
                <w:sz w:val="16"/>
              </w:rPr>
              <w:t>Nom et ville de résidence</w:t>
            </w:r>
          </w:p>
        </w:tc>
        <w:tc>
          <w:tcPr>
            <w:tcW w:w="2907" w:type="dxa"/>
            <w:shd w:val="clear" w:color="auto" w:fill="FFFFFF" w:themeFill="background1"/>
            <w:tcMar>
              <w:top w:w="0" w:type="dxa"/>
              <w:left w:w="53" w:type="dxa"/>
              <w:bottom w:w="0" w:type="dxa"/>
              <w:right w:w="53" w:type="dxa"/>
            </w:tcMar>
          </w:tcPr>
          <w:p w14:paraId="2D7D4CB8" w14:textId="77777777" w:rsidR="009908C4" w:rsidRPr="007D4280" w:rsidRDefault="00152032" w:rsidP="00CD31D8">
            <w:pPr>
              <w:spacing w:before="33" w:after="30" w:line="300" w:lineRule="auto"/>
              <w:rPr>
                <w:rFonts w:ascii="Arial" w:hAnsi="Arial" w:cs="Arial"/>
                <w:sz w:val="16"/>
                <w:szCs w:val="16"/>
              </w:rPr>
            </w:pPr>
            <w:r w:rsidRPr="007D4280">
              <w:rPr>
                <w:rFonts w:ascii="Arial" w:hAnsi="Arial"/>
                <w:b/>
                <w:color w:val="000000"/>
                <w:sz w:val="16"/>
              </w:rPr>
              <w:t>Poste au sein de la Société</w:t>
            </w:r>
          </w:p>
        </w:tc>
        <w:tc>
          <w:tcPr>
            <w:tcW w:w="3764" w:type="dxa"/>
            <w:shd w:val="clear" w:color="auto" w:fill="FFFFFF" w:themeFill="background1"/>
            <w:tcMar>
              <w:top w:w="0" w:type="dxa"/>
              <w:left w:w="53" w:type="dxa"/>
              <w:bottom w:w="0" w:type="dxa"/>
              <w:right w:w="53" w:type="dxa"/>
            </w:tcMar>
          </w:tcPr>
          <w:p w14:paraId="3AF50B28" w14:textId="1398EA63" w:rsidR="009908C4" w:rsidRPr="007D4280" w:rsidRDefault="00152032" w:rsidP="00CD31D8">
            <w:pPr>
              <w:spacing w:before="33" w:after="30" w:line="300" w:lineRule="auto"/>
              <w:rPr>
                <w:rFonts w:ascii="Arial" w:hAnsi="Arial" w:cs="Arial"/>
                <w:sz w:val="16"/>
                <w:szCs w:val="16"/>
              </w:rPr>
            </w:pPr>
            <w:r w:rsidRPr="007D4280">
              <w:rPr>
                <w:rFonts w:ascii="Arial" w:hAnsi="Arial"/>
                <w:b/>
                <w:color w:val="000000"/>
                <w:sz w:val="16"/>
              </w:rPr>
              <w:t xml:space="preserve">Occupation principale </w:t>
            </w:r>
          </w:p>
        </w:tc>
      </w:tr>
      <w:tr w:rsidR="001E3511" w:rsidRPr="007D4280" w14:paraId="5966D66E" w14:textId="77777777" w:rsidTr="00CD31D8">
        <w:trPr>
          <w:cantSplit/>
        </w:trPr>
        <w:tc>
          <w:tcPr>
            <w:tcW w:w="2693" w:type="dxa"/>
            <w:tcMar>
              <w:top w:w="0" w:type="dxa"/>
              <w:left w:w="53" w:type="dxa"/>
              <w:bottom w:w="0" w:type="dxa"/>
              <w:right w:w="53" w:type="dxa"/>
            </w:tcMar>
          </w:tcPr>
          <w:p w14:paraId="5940C6C8" w14:textId="77777777" w:rsidR="009908C4" w:rsidRPr="007D4280" w:rsidRDefault="00152032" w:rsidP="00CD31D8">
            <w:pPr>
              <w:tabs>
                <w:tab w:val="left" w:pos="9360"/>
              </w:tabs>
              <w:spacing w:before="33" w:line="300" w:lineRule="auto"/>
              <w:ind w:left="43" w:right="1094"/>
              <w:rPr>
                <w:rFonts w:ascii="Arial" w:eastAsia="Arial" w:hAnsi="Arial" w:cs="Arial"/>
                <w:sz w:val="16"/>
                <w:szCs w:val="16"/>
                <w:lang w:val="en-US"/>
              </w:rPr>
            </w:pPr>
            <w:r w:rsidRPr="007D4280">
              <w:rPr>
                <w:rFonts w:ascii="Arial" w:hAnsi="Arial"/>
                <w:sz w:val="16"/>
                <w:lang w:val="en-US"/>
              </w:rPr>
              <w:t>Gillian Akai</w:t>
            </w:r>
          </w:p>
          <w:p w14:paraId="244637AC" w14:textId="6F914646" w:rsidR="00D20803" w:rsidRPr="007D4280" w:rsidRDefault="003D6A27" w:rsidP="00BD7E95">
            <w:pPr>
              <w:tabs>
                <w:tab w:val="left" w:pos="9360"/>
              </w:tabs>
              <w:spacing w:before="33" w:line="300" w:lineRule="auto"/>
              <w:ind w:left="43" w:right="1094"/>
              <w:rPr>
                <w:rFonts w:eastAsia="Arial"/>
                <w:lang w:val="en-US"/>
              </w:rPr>
            </w:pPr>
            <w:r w:rsidRPr="007D4280">
              <w:rPr>
                <w:rStyle w:val="Prompt"/>
                <w:color w:val="auto"/>
                <w:sz w:val="16"/>
                <w:lang w:val="en-US"/>
              </w:rPr>
              <w:t>Toronto (Ontario) Canada</w:t>
            </w:r>
          </w:p>
        </w:tc>
        <w:tc>
          <w:tcPr>
            <w:tcW w:w="2907" w:type="dxa"/>
            <w:tcMar>
              <w:top w:w="0" w:type="dxa"/>
              <w:left w:w="53" w:type="dxa"/>
              <w:bottom w:w="0" w:type="dxa"/>
              <w:right w:w="53" w:type="dxa"/>
            </w:tcMar>
          </w:tcPr>
          <w:p w14:paraId="34D275B6" w14:textId="25B0542A" w:rsidR="009908C4" w:rsidRPr="007D4280" w:rsidRDefault="00152032" w:rsidP="00CD31D8">
            <w:pPr>
              <w:tabs>
                <w:tab w:val="left" w:pos="9360"/>
              </w:tabs>
              <w:spacing w:before="33" w:after="30" w:line="300" w:lineRule="auto"/>
              <w:ind w:left="40" w:right="718"/>
              <w:rPr>
                <w:rFonts w:ascii="Arial" w:eastAsia="Arial" w:hAnsi="Arial" w:cs="Arial"/>
                <w:sz w:val="16"/>
                <w:szCs w:val="16"/>
              </w:rPr>
            </w:pPr>
            <w:r w:rsidRPr="007D4280">
              <w:rPr>
                <w:rFonts w:ascii="Arial" w:hAnsi="Arial"/>
                <w:sz w:val="16"/>
              </w:rPr>
              <w:t>Vice-présidente principale, avocate générale, Communications et secrétaire générale</w:t>
            </w:r>
          </w:p>
        </w:tc>
        <w:tc>
          <w:tcPr>
            <w:tcW w:w="3764" w:type="dxa"/>
            <w:tcMar>
              <w:top w:w="0" w:type="dxa"/>
              <w:left w:w="53" w:type="dxa"/>
              <w:bottom w:w="0" w:type="dxa"/>
              <w:right w:w="53" w:type="dxa"/>
            </w:tcMar>
          </w:tcPr>
          <w:p w14:paraId="08FA91C0" w14:textId="1328CFAF" w:rsidR="009908C4" w:rsidRPr="007D4280" w:rsidRDefault="00152032" w:rsidP="00CD31D8">
            <w:pPr>
              <w:spacing w:before="33" w:after="30" w:line="300" w:lineRule="auto"/>
              <w:rPr>
                <w:rFonts w:ascii="Arial" w:eastAsia="Arial" w:hAnsi="Arial" w:cs="Arial"/>
                <w:sz w:val="16"/>
                <w:szCs w:val="16"/>
              </w:rPr>
            </w:pPr>
            <w:bookmarkStart w:id="63" w:name="_Hlk93516846"/>
            <w:r w:rsidRPr="007D4280">
              <w:rPr>
                <w:rFonts w:ascii="Arial" w:hAnsi="Arial"/>
                <w:sz w:val="16"/>
              </w:rPr>
              <w:t xml:space="preserve">Vice-présidente principale, avocate générale, Communications et secrétaire générale (depuis décembre 2025); vice-présidente principale, avocate générale et secrétaire générale (de novembre 2025 à décembre 2025); </w:t>
            </w:r>
          </w:p>
          <w:p w14:paraId="0FB622EF" w14:textId="3B48356A" w:rsidR="009908C4" w:rsidRPr="007D4280" w:rsidRDefault="00152032" w:rsidP="00CD31D8">
            <w:pPr>
              <w:spacing w:before="33" w:after="30" w:line="300" w:lineRule="auto"/>
              <w:rPr>
                <w:rFonts w:ascii="Arial" w:eastAsia="Arial" w:hAnsi="Arial"/>
                <w:color w:val="000000"/>
                <w:sz w:val="16"/>
              </w:rPr>
            </w:pPr>
            <w:r w:rsidRPr="007D4280">
              <w:rPr>
                <w:rFonts w:ascii="Arial" w:hAnsi="Arial"/>
                <w:sz w:val="16"/>
              </w:rPr>
              <w:t xml:space="preserve">Directrice générale, vice-présidente directrice, avocate générale et secrétaire générale de </w:t>
            </w:r>
            <w:proofErr w:type="spellStart"/>
            <w:r w:rsidRPr="007D4280">
              <w:rPr>
                <w:rFonts w:ascii="Arial" w:hAnsi="Arial"/>
                <w:sz w:val="16"/>
              </w:rPr>
              <w:t>Postmedia</w:t>
            </w:r>
            <w:proofErr w:type="spellEnd"/>
            <w:r w:rsidRPr="007D4280">
              <w:rPr>
                <w:rFonts w:ascii="Arial" w:hAnsi="Arial"/>
                <w:sz w:val="16"/>
              </w:rPr>
              <w:t xml:space="preserve"> Network Canada Corp. et de </w:t>
            </w:r>
            <w:proofErr w:type="spellStart"/>
            <w:r w:rsidRPr="007D4280">
              <w:rPr>
                <w:rFonts w:ascii="Arial" w:hAnsi="Arial"/>
                <w:sz w:val="16"/>
              </w:rPr>
              <w:t>Postmedia</w:t>
            </w:r>
            <w:proofErr w:type="spellEnd"/>
            <w:r w:rsidRPr="007D4280">
              <w:rPr>
                <w:rFonts w:ascii="Arial" w:hAnsi="Arial"/>
                <w:sz w:val="16"/>
              </w:rPr>
              <w:t xml:space="preserve"> Network Inc. (de mai 2018 à novembre 2025)</w:t>
            </w:r>
            <w:bookmarkEnd w:id="63"/>
            <w:r w:rsidRPr="007D4280">
              <w:rPr>
                <w:rFonts w:ascii="Arial" w:hAnsi="Arial"/>
                <w:sz w:val="16"/>
              </w:rPr>
              <w:t xml:space="preserve">. </w:t>
            </w:r>
          </w:p>
        </w:tc>
      </w:tr>
      <w:tr w:rsidR="001E3511" w:rsidRPr="007D4280" w14:paraId="203CDD44" w14:textId="77777777" w:rsidTr="00CD31D8">
        <w:trPr>
          <w:cantSplit/>
        </w:trPr>
        <w:tc>
          <w:tcPr>
            <w:tcW w:w="2693" w:type="dxa"/>
            <w:tcMar>
              <w:top w:w="0" w:type="dxa"/>
              <w:left w:w="53" w:type="dxa"/>
              <w:bottom w:w="0" w:type="dxa"/>
              <w:right w:w="53" w:type="dxa"/>
            </w:tcMar>
          </w:tcPr>
          <w:p w14:paraId="2CDBBD3D" w14:textId="77777777" w:rsidR="00C16E53" w:rsidRPr="007D4280" w:rsidRDefault="00152032" w:rsidP="00C16E53">
            <w:pPr>
              <w:tabs>
                <w:tab w:val="left" w:pos="9360"/>
              </w:tabs>
              <w:spacing w:before="33" w:after="30" w:line="300" w:lineRule="auto"/>
              <w:ind w:left="40" w:right="999"/>
              <w:rPr>
                <w:rFonts w:ascii="Arial" w:eastAsia="Arial" w:hAnsi="Arial" w:cs="Arial"/>
                <w:sz w:val="16"/>
                <w:szCs w:val="16"/>
                <w:lang w:val="en-US"/>
              </w:rPr>
            </w:pPr>
            <w:r w:rsidRPr="007D4280">
              <w:rPr>
                <w:rFonts w:ascii="Arial" w:hAnsi="Arial"/>
                <w:sz w:val="16"/>
                <w:lang w:val="en-US"/>
              </w:rPr>
              <w:t>Ellicia Demchuk</w:t>
            </w:r>
          </w:p>
          <w:p w14:paraId="593D2F39" w14:textId="4EDA86D4" w:rsidR="00D20803" w:rsidRPr="007D4280" w:rsidRDefault="00C16E53" w:rsidP="00C16E53">
            <w:pPr>
              <w:tabs>
                <w:tab w:val="left" w:pos="9360"/>
              </w:tabs>
              <w:spacing w:before="33" w:after="30" w:line="300" w:lineRule="auto"/>
              <w:ind w:left="40" w:right="999"/>
              <w:rPr>
                <w:rFonts w:ascii="Arial" w:eastAsia="Arial" w:hAnsi="Arial" w:cs="Arial"/>
                <w:sz w:val="16"/>
                <w:szCs w:val="16"/>
                <w:lang w:val="en-US"/>
              </w:rPr>
            </w:pPr>
            <w:r w:rsidRPr="007D4280">
              <w:rPr>
                <w:rStyle w:val="Prompt"/>
                <w:color w:val="auto"/>
                <w:sz w:val="16"/>
                <w:lang w:val="en-US"/>
              </w:rPr>
              <w:t>Toronto (Ontario) Canada</w:t>
            </w:r>
          </w:p>
        </w:tc>
        <w:tc>
          <w:tcPr>
            <w:tcW w:w="2907" w:type="dxa"/>
            <w:tcMar>
              <w:top w:w="0" w:type="dxa"/>
              <w:left w:w="53" w:type="dxa"/>
              <w:bottom w:w="0" w:type="dxa"/>
              <w:right w:w="53" w:type="dxa"/>
            </w:tcMar>
          </w:tcPr>
          <w:p w14:paraId="1B4981D0" w14:textId="77777777" w:rsidR="009908C4" w:rsidRPr="007D4280" w:rsidRDefault="00152032" w:rsidP="00CD31D8">
            <w:pPr>
              <w:tabs>
                <w:tab w:val="left" w:pos="9360"/>
              </w:tabs>
              <w:spacing w:after="30" w:line="300" w:lineRule="auto"/>
              <w:ind w:left="40" w:right="718"/>
              <w:rPr>
                <w:rFonts w:ascii="Arial" w:eastAsia="Arial" w:hAnsi="Arial" w:cs="Arial"/>
                <w:sz w:val="16"/>
                <w:szCs w:val="16"/>
              </w:rPr>
            </w:pPr>
            <w:r w:rsidRPr="007D4280">
              <w:rPr>
                <w:rFonts w:ascii="Arial" w:hAnsi="Arial"/>
                <w:sz w:val="16"/>
              </w:rPr>
              <w:t>Vice-présidente, Finances et contrôleuse</w:t>
            </w:r>
          </w:p>
        </w:tc>
        <w:tc>
          <w:tcPr>
            <w:tcW w:w="3764" w:type="dxa"/>
            <w:tcMar>
              <w:top w:w="0" w:type="dxa"/>
              <w:left w:w="53" w:type="dxa"/>
              <w:bottom w:w="0" w:type="dxa"/>
              <w:right w:w="53" w:type="dxa"/>
            </w:tcMar>
          </w:tcPr>
          <w:p w14:paraId="6E05D5D0" w14:textId="77777777" w:rsidR="009908C4" w:rsidRPr="007D4280" w:rsidRDefault="00152032" w:rsidP="00CD31D8">
            <w:pPr>
              <w:tabs>
                <w:tab w:val="left" w:pos="9360"/>
              </w:tabs>
              <w:spacing w:before="33" w:line="300" w:lineRule="auto"/>
              <w:ind w:left="40" w:right="57"/>
              <w:rPr>
                <w:rFonts w:ascii="Arial" w:eastAsia="Arial" w:hAnsi="Arial" w:cs="Arial"/>
                <w:sz w:val="16"/>
                <w:szCs w:val="16"/>
              </w:rPr>
            </w:pPr>
            <w:r w:rsidRPr="007D4280">
              <w:rPr>
                <w:rFonts w:ascii="Arial" w:hAnsi="Arial"/>
                <w:sz w:val="16"/>
              </w:rPr>
              <w:t>Vice-présidente Finances et contrôleuse (depuis avril 2025); directrice des Finances et contrôleuse adjointe (d’août 2022 à mars 2024); directrice, Opérations financières (de janvier 2017 à juillet 2022).</w:t>
            </w:r>
          </w:p>
          <w:p w14:paraId="70E870D0" w14:textId="77777777" w:rsidR="009908C4" w:rsidRPr="007D4280" w:rsidRDefault="009908C4" w:rsidP="00CD31D8">
            <w:pPr>
              <w:tabs>
                <w:tab w:val="left" w:pos="9360"/>
              </w:tabs>
              <w:spacing w:before="33" w:line="300" w:lineRule="auto"/>
              <w:ind w:left="40" w:right="57"/>
              <w:rPr>
                <w:rFonts w:ascii="Arial" w:eastAsia="Arial" w:hAnsi="Arial" w:cs="Arial"/>
                <w:sz w:val="16"/>
                <w:szCs w:val="16"/>
              </w:rPr>
            </w:pPr>
          </w:p>
        </w:tc>
      </w:tr>
      <w:tr w:rsidR="001E3511" w:rsidRPr="007D4280" w14:paraId="38F04AD4" w14:textId="77777777" w:rsidTr="00CD31D8">
        <w:trPr>
          <w:cantSplit/>
        </w:trPr>
        <w:tc>
          <w:tcPr>
            <w:tcW w:w="2693" w:type="dxa"/>
            <w:tcMar>
              <w:top w:w="0" w:type="dxa"/>
              <w:left w:w="53" w:type="dxa"/>
              <w:bottom w:w="0" w:type="dxa"/>
              <w:right w:w="53" w:type="dxa"/>
            </w:tcMar>
          </w:tcPr>
          <w:p w14:paraId="5A013D5D" w14:textId="77777777" w:rsidR="009908C4" w:rsidRPr="007D4280" w:rsidRDefault="00152032" w:rsidP="00CD31D8">
            <w:pPr>
              <w:tabs>
                <w:tab w:val="left" w:pos="9360"/>
              </w:tabs>
              <w:spacing w:before="33" w:line="300" w:lineRule="auto"/>
              <w:ind w:left="43" w:right="1094"/>
              <w:rPr>
                <w:rFonts w:ascii="Arial" w:eastAsia="Arial" w:hAnsi="Arial" w:cs="Arial"/>
                <w:sz w:val="16"/>
                <w:szCs w:val="16"/>
              </w:rPr>
            </w:pPr>
            <w:r w:rsidRPr="007D4280">
              <w:rPr>
                <w:rFonts w:ascii="Arial" w:hAnsi="Arial"/>
                <w:sz w:val="16"/>
              </w:rPr>
              <w:t>Stéphane Dubreuil</w:t>
            </w:r>
          </w:p>
          <w:p w14:paraId="7C9BF372" w14:textId="52A2D765" w:rsidR="009908C4" w:rsidRPr="007D4280" w:rsidRDefault="00152032" w:rsidP="00CD31D8">
            <w:pPr>
              <w:tabs>
                <w:tab w:val="left" w:pos="9360"/>
              </w:tabs>
              <w:spacing w:after="30" w:line="300" w:lineRule="auto"/>
              <w:ind w:left="43" w:right="1094"/>
              <w:rPr>
                <w:rFonts w:ascii="Arial" w:eastAsia="Arial" w:hAnsi="Arial" w:cs="Arial"/>
                <w:sz w:val="16"/>
                <w:szCs w:val="16"/>
              </w:rPr>
            </w:pPr>
            <w:r w:rsidRPr="007D4280">
              <w:rPr>
                <w:rFonts w:ascii="Arial" w:hAnsi="Arial"/>
                <w:sz w:val="16"/>
              </w:rPr>
              <w:t>Toronto (Ontario) Canada</w:t>
            </w:r>
          </w:p>
        </w:tc>
        <w:tc>
          <w:tcPr>
            <w:tcW w:w="2907" w:type="dxa"/>
            <w:tcMar>
              <w:top w:w="0" w:type="dxa"/>
              <w:left w:w="53" w:type="dxa"/>
              <w:bottom w:w="0" w:type="dxa"/>
              <w:right w:w="53" w:type="dxa"/>
            </w:tcMar>
          </w:tcPr>
          <w:p w14:paraId="05D75461" w14:textId="77777777" w:rsidR="009908C4" w:rsidRPr="007D4280" w:rsidRDefault="00152032" w:rsidP="00CD31D8">
            <w:pPr>
              <w:tabs>
                <w:tab w:val="left" w:pos="9360"/>
              </w:tabs>
              <w:spacing w:before="33" w:after="30" w:line="300" w:lineRule="auto"/>
              <w:ind w:left="40" w:right="718"/>
              <w:rPr>
                <w:rFonts w:ascii="Arial" w:eastAsia="Arial" w:hAnsi="Arial" w:cs="Arial"/>
                <w:sz w:val="16"/>
                <w:szCs w:val="16"/>
              </w:rPr>
            </w:pPr>
            <w:r w:rsidRPr="007D4280">
              <w:rPr>
                <w:rFonts w:ascii="Arial" w:hAnsi="Arial"/>
                <w:sz w:val="16"/>
              </w:rPr>
              <w:t>Vice-président principal, Stratégie et développement</w:t>
            </w:r>
          </w:p>
        </w:tc>
        <w:tc>
          <w:tcPr>
            <w:tcW w:w="3764" w:type="dxa"/>
            <w:tcMar>
              <w:top w:w="0" w:type="dxa"/>
              <w:left w:w="53" w:type="dxa"/>
              <w:bottom w:w="0" w:type="dxa"/>
              <w:right w:w="53" w:type="dxa"/>
            </w:tcMar>
          </w:tcPr>
          <w:p w14:paraId="30CCB95F" w14:textId="77777777" w:rsidR="009908C4" w:rsidRPr="007D4280" w:rsidRDefault="00152032" w:rsidP="00CD31D8">
            <w:pPr>
              <w:spacing w:before="33" w:after="30" w:line="300" w:lineRule="auto"/>
              <w:rPr>
                <w:rFonts w:ascii="Arial" w:hAnsi="Arial" w:cs="Arial"/>
                <w:sz w:val="16"/>
                <w:szCs w:val="16"/>
              </w:rPr>
            </w:pPr>
            <w:r w:rsidRPr="007D4280">
              <w:rPr>
                <w:rFonts w:ascii="Arial" w:hAnsi="Arial"/>
                <w:color w:val="000000"/>
                <w:sz w:val="16"/>
              </w:rPr>
              <w:t xml:space="preserve">Vice-président principal, Stratégie et développement (depuis février 2019). </w:t>
            </w:r>
          </w:p>
        </w:tc>
      </w:tr>
      <w:tr w:rsidR="001E3511" w:rsidRPr="007D4280" w14:paraId="7E14CEC2" w14:textId="77777777" w:rsidTr="00CD31D8">
        <w:trPr>
          <w:cantSplit/>
        </w:trPr>
        <w:tc>
          <w:tcPr>
            <w:tcW w:w="2693" w:type="dxa"/>
            <w:tcMar>
              <w:top w:w="0" w:type="dxa"/>
              <w:left w:w="53" w:type="dxa"/>
              <w:bottom w:w="0" w:type="dxa"/>
              <w:right w:w="53" w:type="dxa"/>
            </w:tcMar>
          </w:tcPr>
          <w:p w14:paraId="75736E45" w14:textId="77777777" w:rsidR="009908C4" w:rsidRPr="007D4280" w:rsidRDefault="00152032" w:rsidP="00CD31D8">
            <w:pPr>
              <w:tabs>
                <w:tab w:val="left" w:pos="9360"/>
              </w:tabs>
              <w:spacing w:before="33" w:after="30" w:line="300" w:lineRule="auto"/>
              <w:ind w:left="40" w:right="999"/>
              <w:rPr>
                <w:rFonts w:ascii="Arial" w:eastAsia="Arial" w:hAnsi="Arial" w:cs="Arial"/>
                <w:sz w:val="16"/>
                <w:szCs w:val="16"/>
              </w:rPr>
            </w:pPr>
            <w:r w:rsidRPr="007D4280">
              <w:rPr>
                <w:rFonts w:ascii="Arial" w:hAnsi="Arial"/>
                <w:sz w:val="16"/>
              </w:rPr>
              <w:t xml:space="preserve">Donald Duxbury </w:t>
            </w:r>
            <w:r w:rsidRPr="007D4280">
              <w:rPr>
                <w:rFonts w:ascii="Arial" w:hAnsi="Arial"/>
                <w:sz w:val="16"/>
                <w:vertAlign w:val="superscript"/>
              </w:rPr>
              <w:t>(1)</w:t>
            </w:r>
          </w:p>
          <w:p w14:paraId="685A434D" w14:textId="5B4A0F63" w:rsidR="009908C4" w:rsidRPr="007D4280" w:rsidRDefault="00152032" w:rsidP="00CD31D8">
            <w:pPr>
              <w:tabs>
                <w:tab w:val="left" w:pos="9360"/>
              </w:tabs>
              <w:spacing w:before="33" w:after="30" w:line="300" w:lineRule="auto"/>
              <w:ind w:left="40" w:right="999"/>
              <w:rPr>
                <w:rFonts w:ascii="Arial" w:eastAsia="Arial" w:hAnsi="Arial" w:cs="Arial"/>
                <w:sz w:val="16"/>
                <w:szCs w:val="16"/>
              </w:rPr>
            </w:pPr>
            <w:proofErr w:type="spellStart"/>
            <w:r w:rsidRPr="007D4280">
              <w:rPr>
                <w:rFonts w:ascii="Arial" w:hAnsi="Arial"/>
                <w:sz w:val="16"/>
              </w:rPr>
              <w:t>Naperville</w:t>
            </w:r>
            <w:proofErr w:type="spellEnd"/>
            <w:r w:rsidRPr="007D4280">
              <w:rPr>
                <w:rFonts w:ascii="Arial" w:hAnsi="Arial"/>
                <w:sz w:val="16"/>
              </w:rPr>
              <w:t xml:space="preserve"> (Illinois) États-Unis </w:t>
            </w:r>
          </w:p>
        </w:tc>
        <w:tc>
          <w:tcPr>
            <w:tcW w:w="2907" w:type="dxa"/>
            <w:tcMar>
              <w:top w:w="0" w:type="dxa"/>
              <w:left w:w="53" w:type="dxa"/>
              <w:bottom w:w="0" w:type="dxa"/>
              <w:right w:w="53" w:type="dxa"/>
            </w:tcMar>
          </w:tcPr>
          <w:p w14:paraId="69D4D316" w14:textId="77777777" w:rsidR="009908C4" w:rsidRPr="007D4280" w:rsidRDefault="00152032" w:rsidP="00CD31D8">
            <w:pPr>
              <w:tabs>
                <w:tab w:val="left" w:pos="9360"/>
              </w:tabs>
              <w:spacing w:after="30" w:line="300" w:lineRule="auto"/>
              <w:ind w:left="40" w:right="718"/>
              <w:rPr>
                <w:rFonts w:ascii="Arial" w:eastAsia="Arial" w:hAnsi="Arial" w:cs="Arial"/>
                <w:sz w:val="16"/>
                <w:szCs w:val="16"/>
              </w:rPr>
            </w:pPr>
            <w:r w:rsidRPr="007D4280">
              <w:rPr>
                <w:rFonts w:ascii="Arial" w:hAnsi="Arial"/>
                <w:sz w:val="16"/>
              </w:rPr>
              <w:t>Vice-président, Finances, commerce et opérations</w:t>
            </w:r>
          </w:p>
        </w:tc>
        <w:tc>
          <w:tcPr>
            <w:tcW w:w="3764" w:type="dxa"/>
            <w:tcMar>
              <w:top w:w="0" w:type="dxa"/>
              <w:left w:w="53" w:type="dxa"/>
              <w:bottom w:w="0" w:type="dxa"/>
              <w:right w:w="53" w:type="dxa"/>
            </w:tcMar>
          </w:tcPr>
          <w:p w14:paraId="24B2E556" w14:textId="32F469EB" w:rsidR="009908C4" w:rsidRPr="007D4280" w:rsidRDefault="00152032" w:rsidP="00CD31D8">
            <w:pPr>
              <w:tabs>
                <w:tab w:val="left" w:pos="9360"/>
              </w:tabs>
              <w:spacing w:before="33" w:line="300" w:lineRule="auto"/>
              <w:ind w:left="40" w:right="57"/>
              <w:rPr>
                <w:rFonts w:ascii="Arial" w:eastAsia="Arial" w:hAnsi="Arial" w:cs="Arial"/>
                <w:sz w:val="16"/>
                <w:szCs w:val="16"/>
              </w:rPr>
            </w:pPr>
            <w:r w:rsidRPr="007D4280">
              <w:rPr>
                <w:rFonts w:ascii="Arial" w:hAnsi="Arial"/>
                <w:sz w:val="16"/>
              </w:rPr>
              <w:t xml:space="preserve">Vice-président, Finances, commerce et opérations (de novembre 2024 à janvier 2026); vice-président, Finances et administration (d’août 2023 à novembre 2024), vice-président, Finances chaîne d’approvisionnement, les Aliments Greenleaf, EFS, une entreprise de produits alimentaires à base végétale et une filiale indépendante en propriété exclusive des Aliments Maple Leaf Inc. (de juillet 2019 à août 2023) </w:t>
            </w:r>
          </w:p>
        </w:tc>
      </w:tr>
      <w:tr w:rsidR="001E3511" w:rsidRPr="007D4280" w14:paraId="5426F598" w14:textId="77777777" w:rsidTr="00CD31D8">
        <w:trPr>
          <w:cantSplit/>
        </w:trPr>
        <w:tc>
          <w:tcPr>
            <w:tcW w:w="2693" w:type="dxa"/>
            <w:tcMar>
              <w:top w:w="0" w:type="dxa"/>
              <w:left w:w="53" w:type="dxa"/>
              <w:bottom w:w="0" w:type="dxa"/>
              <w:right w:w="53" w:type="dxa"/>
            </w:tcMar>
          </w:tcPr>
          <w:p w14:paraId="7F4CE35B" w14:textId="77777777" w:rsidR="009908C4" w:rsidRPr="007D4280" w:rsidRDefault="00152032" w:rsidP="00CD31D8">
            <w:pPr>
              <w:tabs>
                <w:tab w:val="left" w:pos="9360"/>
              </w:tabs>
              <w:spacing w:before="33" w:after="30" w:line="300" w:lineRule="auto"/>
              <w:ind w:left="40" w:right="999"/>
              <w:rPr>
                <w:rFonts w:ascii="Arial" w:eastAsia="Arial" w:hAnsi="Arial" w:cs="Arial"/>
                <w:sz w:val="16"/>
                <w:szCs w:val="16"/>
                <w:lang w:val="en-US"/>
              </w:rPr>
            </w:pPr>
            <w:r w:rsidRPr="007D4280">
              <w:rPr>
                <w:rFonts w:ascii="Arial" w:hAnsi="Arial"/>
                <w:sz w:val="16"/>
                <w:lang w:val="en-US"/>
              </w:rPr>
              <w:t>Jumoke Fagbemi</w:t>
            </w:r>
          </w:p>
          <w:p w14:paraId="43BB1611" w14:textId="47D964A6" w:rsidR="009908C4" w:rsidRPr="007D4280" w:rsidRDefault="00152032" w:rsidP="00CD31D8">
            <w:pPr>
              <w:tabs>
                <w:tab w:val="left" w:pos="9360"/>
              </w:tabs>
              <w:spacing w:before="33" w:after="30" w:line="300" w:lineRule="auto"/>
              <w:ind w:left="40" w:right="999"/>
              <w:rPr>
                <w:rFonts w:ascii="Arial" w:eastAsia="Arial" w:hAnsi="Arial" w:cs="Arial"/>
                <w:sz w:val="16"/>
                <w:szCs w:val="16"/>
                <w:lang w:val="en-US"/>
              </w:rPr>
            </w:pPr>
            <w:r w:rsidRPr="007D4280">
              <w:rPr>
                <w:rFonts w:ascii="Arial" w:hAnsi="Arial"/>
                <w:sz w:val="16"/>
                <w:lang w:val="en-US"/>
              </w:rPr>
              <w:t>Oakville (Ontario) Canada</w:t>
            </w:r>
          </w:p>
        </w:tc>
        <w:tc>
          <w:tcPr>
            <w:tcW w:w="2907" w:type="dxa"/>
            <w:tcMar>
              <w:top w:w="0" w:type="dxa"/>
              <w:left w:w="53" w:type="dxa"/>
              <w:bottom w:w="0" w:type="dxa"/>
              <w:right w:w="53" w:type="dxa"/>
            </w:tcMar>
          </w:tcPr>
          <w:p w14:paraId="7B4A5553" w14:textId="77777777" w:rsidR="009908C4" w:rsidRPr="007D4280" w:rsidRDefault="00152032" w:rsidP="00CD31D8">
            <w:pPr>
              <w:tabs>
                <w:tab w:val="left" w:pos="9360"/>
              </w:tabs>
              <w:spacing w:after="30" w:line="300" w:lineRule="auto"/>
              <w:ind w:left="40" w:right="718"/>
              <w:rPr>
                <w:rFonts w:ascii="Arial" w:eastAsia="Arial" w:hAnsi="Arial" w:cs="Arial"/>
                <w:sz w:val="16"/>
                <w:szCs w:val="16"/>
              </w:rPr>
            </w:pPr>
            <w:r w:rsidRPr="007D4280">
              <w:rPr>
                <w:rFonts w:ascii="Arial" w:hAnsi="Arial"/>
                <w:sz w:val="16"/>
              </w:rPr>
              <w:t>Vice-présidente principale, Ressources humaines</w:t>
            </w:r>
          </w:p>
        </w:tc>
        <w:tc>
          <w:tcPr>
            <w:tcW w:w="3764" w:type="dxa"/>
            <w:tcMar>
              <w:top w:w="0" w:type="dxa"/>
              <w:left w:w="53" w:type="dxa"/>
              <w:bottom w:w="0" w:type="dxa"/>
              <w:right w:w="53" w:type="dxa"/>
            </w:tcMar>
          </w:tcPr>
          <w:p w14:paraId="6DB85878" w14:textId="2A92BA98" w:rsidR="009908C4" w:rsidRPr="007D4280" w:rsidRDefault="00152032" w:rsidP="00CD31D8">
            <w:pPr>
              <w:tabs>
                <w:tab w:val="left" w:pos="9360"/>
              </w:tabs>
              <w:spacing w:before="33" w:line="300" w:lineRule="auto"/>
              <w:ind w:left="40" w:right="57"/>
              <w:rPr>
                <w:rFonts w:ascii="Arial" w:eastAsia="Arial" w:hAnsi="Arial" w:cs="Arial"/>
                <w:sz w:val="16"/>
                <w:szCs w:val="16"/>
              </w:rPr>
            </w:pPr>
            <w:r w:rsidRPr="007D4280">
              <w:rPr>
                <w:rFonts w:ascii="Arial" w:hAnsi="Arial"/>
                <w:sz w:val="16"/>
              </w:rPr>
              <w:t xml:space="preserve">Vice-présidente principale, Ressources humaines (depuis janvier 2023); vice-présidente principale, Talent et culture, Airbus, une société du secteur aérospatial (de janvier 2020 à décembre 2022). </w:t>
            </w:r>
          </w:p>
        </w:tc>
      </w:tr>
      <w:tr w:rsidR="001E3511" w:rsidRPr="007D4280" w14:paraId="221EAD0C" w14:textId="77777777" w:rsidTr="00CD31D8">
        <w:trPr>
          <w:cantSplit/>
        </w:trPr>
        <w:tc>
          <w:tcPr>
            <w:tcW w:w="2693" w:type="dxa"/>
            <w:tcMar>
              <w:top w:w="0" w:type="dxa"/>
              <w:left w:w="53" w:type="dxa"/>
              <w:bottom w:w="0" w:type="dxa"/>
              <w:right w:w="53" w:type="dxa"/>
            </w:tcMar>
          </w:tcPr>
          <w:p w14:paraId="75A8A7C0" w14:textId="511BFCDE" w:rsidR="009908C4" w:rsidRPr="007D4280" w:rsidRDefault="00152032" w:rsidP="00CD31D8">
            <w:pPr>
              <w:tabs>
                <w:tab w:val="left" w:pos="9360"/>
              </w:tabs>
              <w:spacing w:before="33" w:after="30" w:line="300" w:lineRule="auto"/>
              <w:ind w:left="40" w:right="1309"/>
              <w:rPr>
                <w:rFonts w:ascii="Arial" w:eastAsia="Arial" w:hAnsi="Arial" w:cs="Arial"/>
                <w:sz w:val="16"/>
                <w:szCs w:val="16"/>
                <w:lang w:val="en-US"/>
              </w:rPr>
            </w:pPr>
            <w:r w:rsidRPr="007D4280">
              <w:rPr>
                <w:rFonts w:ascii="Arial" w:hAnsi="Arial"/>
                <w:sz w:val="16"/>
                <w:lang w:val="en-US"/>
              </w:rPr>
              <w:t>Curtis E. Frank, Carlisle (Ontario) Canada</w:t>
            </w:r>
          </w:p>
        </w:tc>
        <w:tc>
          <w:tcPr>
            <w:tcW w:w="2907" w:type="dxa"/>
            <w:tcMar>
              <w:top w:w="0" w:type="dxa"/>
              <w:left w:w="53" w:type="dxa"/>
              <w:bottom w:w="0" w:type="dxa"/>
              <w:right w:w="53" w:type="dxa"/>
            </w:tcMar>
          </w:tcPr>
          <w:p w14:paraId="6238614A" w14:textId="77777777" w:rsidR="009908C4" w:rsidRPr="007D4280" w:rsidRDefault="00152032" w:rsidP="00CD31D8">
            <w:pPr>
              <w:tabs>
                <w:tab w:val="left" w:pos="9360"/>
              </w:tabs>
              <w:spacing w:before="33" w:after="30" w:line="300" w:lineRule="auto"/>
              <w:ind w:left="19" w:right="98"/>
              <w:rPr>
                <w:rFonts w:ascii="Arial" w:eastAsia="Arial" w:hAnsi="Arial" w:cs="Arial"/>
                <w:sz w:val="16"/>
                <w:szCs w:val="16"/>
              </w:rPr>
            </w:pPr>
            <w:r w:rsidRPr="007D4280">
              <w:rPr>
                <w:rFonts w:ascii="Arial" w:hAnsi="Arial"/>
                <w:sz w:val="16"/>
              </w:rPr>
              <w:t>Président et chef de la direction</w:t>
            </w:r>
          </w:p>
        </w:tc>
        <w:tc>
          <w:tcPr>
            <w:tcW w:w="3764" w:type="dxa"/>
            <w:tcMar>
              <w:top w:w="0" w:type="dxa"/>
              <w:left w:w="53" w:type="dxa"/>
              <w:bottom w:w="0" w:type="dxa"/>
              <w:right w:w="53" w:type="dxa"/>
            </w:tcMar>
          </w:tcPr>
          <w:p w14:paraId="27F94D7E" w14:textId="251EE9FE"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Président et chef de la direction (depuis mai 2022); président et chef de l’exploitation (de février 2019 à mai 2022)</w:t>
            </w:r>
          </w:p>
        </w:tc>
      </w:tr>
      <w:tr w:rsidR="001E3511" w:rsidRPr="007D4280" w14:paraId="0FCA10CE" w14:textId="77777777" w:rsidTr="00CD31D8">
        <w:trPr>
          <w:cantSplit/>
        </w:trPr>
        <w:tc>
          <w:tcPr>
            <w:tcW w:w="2693" w:type="dxa"/>
            <w:tcMar>
              <w:top w:w="0" w:type="dxa"/>
              <w:left w:w="53" w:type="dxa"/>
              <w:bottom w:w="0" w:type="dxa"/>
              <w:right w:w="53" w:type="dxa"/>
            </w:tcMar>
          </w:tcPr>
          <w:p w14:paraId="0DE169C6" w14:textId="77777777" w:rsidR="009908C4" w:rsidRPr="007D4280" w:rsidRDefault="00152032" w:rsidP="00CD31D8">
            <w:pPr>
              <w:tabs>
                <w:tab w:val="left" w:pos="9360"/>
              </w:tabs>
              <w:spacing w:before="33" w:after="30" w:line="300" w:lineRule="auto"/>
              <w:ind w:left="30" w:right="429"/>
              <w:rPr>
                <w:rFonts w:ascii="Arial" w:eastAsia="Arial" w:hAnsi="Arial" w:cs="Arial"/>
                <w:sz w:val="16"/>
                <w:szCs w:val="16"/>
                <w:lang w:val="en-US"/>
              </w:rPr>
            </w:pPr>
            <w:r w:rsidRPr="007D4280">
              <w:rPr>
                <w:rFonts w:ascii="Arial" w:hAnsi="Arial"/>
                <w:sz w:val="16"/>
                <w:lang w:val="en-US"/>
              </w:rPr>
              <w:t>Adam Grogan</w:t>
            </w:r>
          </w:p>
          <w:p w14:paraId="1BA37E30" w14:textId="0CDB3D10" w:rsidR="009908C4" w:rsidRPr="007D4280" w:rsidRDefault="00152032" w:rsidP="00CD31D8">
            <w:pPr>
              <w:tabs>
                <w:tab w:val="left" w:pos="9360"/>
              </w:tabs>
              <w:spacing w:before="33" w:after="30" w:line="300" w:lineRule="auto"/>
              <w:ind w:left="30" w:right="429"/>
              <w:rPr>
                <w:rFonts w:ascii="Arial" w:eastAsia="Arial" w:hAnsi="Arial" w:cs="Arial"/>
                <w:sz w:val="16"/>
                <w:szCs w:val="16"/>
                <w:lang w:val="en-US"/>
              </w:rPr>
            </w:pPr>
            <w:r w:rsidRPr="007D4280">
              <w:rPr>
                <w:rFonts w:ascii="Arial" w:hAnsi="Arial"/>
                <w:sz w:val="16"/>
                <w:lang w:val="en-US"/>
              </w:rPr>
              <w:t>Toronto (Ontario) Canada</w:t>
            </w:r>
          </w:p>
        </w:tc>
        <w:tc>
          <w:tcPr>
            <w:tcW w:w="2907" w:type="dxa"/>
            <w:tcMar>
              <w:top w:w="0" w:type="dxa"/>
              <w:left w:w="53" w:type="dxa"/>
              <w:bottom w:w="0" w:type="dxa"/>
              <w:right w:w="53" w:type="dxa"/>
            </w:tcMar>
          </w:tcPr>
          <w:p w14:paraId="6A2CC62F" w14:textId="77777777" w:rsidR="009908C4" w:rsidRPr="007D4280" w:rsidRDefault="00152032" w:rsidP="00CD31D8">
            <w:pPr>
              <w:tabs>
                <w:tab w:val="left" w:pos="9360"/>
              </w:tabs>
              <w:spacing w:before="33" w:after="30" w:line="300" w:lineRule="auto"/>
              <w:ind w:left="40" w:right="118"/>
              <w:rPr>
                <w:rFonts w:ascii="Arial" w:eastAsia="Arial" w:hAnsi="Arial" w:cs="Arial"/>
                <w:sz w:val="16"/>
                <w:szCs w:val="16"/>
              </w:rPr>
            </w:pPr>
            <w:r w:rsidRPr="007D4280">
              <w:rPr>
                <w:rFonts w:ascii="Arial" w:hAnsi="Arial"/>
                <w:sz w:val="16"/>
              </w:rPr>
              <w:t xml:space="preserve">Président et chef de l’exploitation </w:t>
            </w:r>
          </w:p>
        </w:tc>
        <w:tc>
          <w:tcPr>
            <w:tcW w:w="3764" w:type="dxa"/>
            <w:tcMar>
              <w:top w:w="0" w:type="dxa"/>
              <w:left w:w="53" w:type="dxa"/>
              <w:bottom w:w="0" w:type="dxa"/>
              <w:right w:w="53" w:type="dxa"/>
            </w:tcMar>
          </w:tcPr>
          <w:p w14:paraId="52BBF59B" w14:textId="66408106" w:rsidR="009908C4" w:rsidRPr="007D4280" w:rsidRDefault="00152032" w:rsidP="00CD31D8">
            <w:pPr>
              <w:tabs>
                <w:tab w:val="left" w:pos="9360"/>
              </w:tabs>
              <w:spacing w:before="33" w:after="30" w:line="300" w:lineRule="auto"/>
              <w:ind w:left="40" w:right="51"/>
              <w:rPr>
                <w:rFonts w:ascii="Arial" w:eastAsia="Arial" w:hAnsi="Arial" w:cs="Arial"/>
                <w:sz w:val="16"/>
                <w:szCs w:val="16"/>
              </w:rPr>
            </w:pPr>
            <w:r w:rsidRPr="007D4280">
              <w:rPr>
                <w:rFonts w:ascii="Arial" w:hAnsi="Arial"/>
                <w:sz w:val="16"/>
              </w:rPr>
              <w:t xml:space="preserve">Président et chef de l’exploitation (depuis février 2024); président, Protéines de substitution (de décembre 2022 à février 2024); président, les Aliments Greenleaf, EFS (de janvier 2022 à février 2024); chef de l’exploitation, les Aliments Greenleaf, EFS, une entreprise de produits alimentaires à base végétale et une filiale indépendante en propriété exclusive des Aliments Maple Leaf Inc. (de septembre 2019 à janvier 2022). </w:t>
            </w:r>
          </w:p>
        </w:tc>
      </w:tr>
      <w:tr w:rsidR="001E3511" w:rsidRPr="007D4280" w14:paraId="01A8086E" w14:textId="77777777" w:rsidTr="00CD31D8">
        <w:trPr>
          <w:cantSplit/>
        </w:trPr>
        <w:tc>
          <w:tcPr>
            <w:tcW w:w="2693" w:type="dxa"/>
            <w:tcMar>
              <w:top w:w="0" w:type="dxa"/>
              <w:left w:w="53" w:type="dxa"/>
              <w:bottom w:w="0" w:type="dxa"/>
              <w:right w:w="53" w:type="dxa"/>
            </w:tcMar>
          </w:tcPr>
          <w:p w14:paraId="55F36BFA" w14:textId="77777777" w:rsidR="009908C4" w:rsidRPr="007D4280" w:rsidRDefault="00152032" w:rsidP="00CD31D8">
            <w:pPr>
              <w:tabs>
                <w:tab w:val="left" w:pos="9360"/>
              </w:tabs>
              <w:spacing w:before="33" w:after="30" w:line="300" w:lineRule="auto"/>
              <w:ind w:left="30" w:right="429"/>
              <w:rPr>
                <w:rFonts w:ascii="Arial" w:eastAsia="Arial" w:hAnsi="Arial" w:cs="Arial"/>
                <w:sz w:val="16"/>
                <w:szCs w:val="16"/>
                <w:lang w:val="en-US"/>
              </w:rPr>
            </w:pPr>
            <w:r w:rsidRPr="007D4280">
              <w:rPr>
                <w:rFonts w:ascii="Arial" w:hAnsi="Arial"/>
                <w:sz w:val="16"/>
                <w:lang w:val="en-US"/>
              </w:rPr>
              <w:t xml:space="preserve">Randall D. Huffman </w:t>
            </w:r>
          </w:p>
          <w:p w14:paraId="7682380C" w14:textId="0307FF00" w:rsidR="009908C4" w:rsidRPr="007D4280" w:rsidRDefault="00152032" w:rsidP="00CD31D8">
            <w:pPr>
              <w:tabs>
                <w:tab w:val="left" w:pos="9360"/>
              </w:tabs>
              <w:spacing w:before="33" w:after="30" w:line="300" w:lineRule="auto"/>
              <w:ind w:left="30" w:right="429"/>
              <w:rPr>
                <w:rFonts w:ascii="Arial" w:eastAsia="Arial" w:hAnsi="Arial" w:cs="Arial"/>
                <w:sz w:val="16"/>
                <w:szCs w:val="16"/>
                <w:lang w:val="en-US"/>
              </w:rPr>
            </w:pPr>
            <w:r w:rsidRPr="007D4280">
              <w:rPr>
                <w:rFonts w:ascii="Arial" w:hAnsi="Arial"/>
                <w:sz w:val="16"/>
                <w:lang w:val="en-US"/>
              </w:rPr>
              <w:t>Toronto (Ontario) Canada</w:t>
            </w:r>
          </w:p>
        </w:tc>
        <w:tc>
          <w:tcPr>
            <w:tcW w:w="2907" w:type="dxa"/>
            <w:tcMar>
              <w:top w:w="0" w:type="dxa"/>
              <w:left w:w="53" w:type="dxa"/>
              <w:bottom w:w="0" w:type="dxa"/>
              <w:right w:w="53" w:type="dxa"/>
            </w:tcMar>
          </w:tcPr>
          <w:p w14:paraId="7CAD2994" w14:textId="77777777" w:rsidR="009908C4" w:rsidRPr="007D4280" w:rsidRDefault="00152032" w:rsidP="00CD31D8">
            <w:pPr>
              <w:tabs>
                <w:tab w:val="left" w:pos="9360"/>
              </w:tabs>
              <w:spacing w:before="33" w:after="30" w:line="300" w:lineRule="auto"/>
              <w:ind w:left="40" w:right="1008"/>
              <w:rPr>
                <w:rFonts w:ascii="Arial" w:eastAsia="Arial" w:hAnsi="Arial" w:cs="Arial"/>
                <w:sz w:val="16"/>
                <w:szCs w:val="16"/>
              </w:rPr>
            </w:pPr>
            <w:r w:rsidRPr="007D4280">
              <w:rPr>
                <w:rFonts w:ascii="Arial" w:hAnsi="Arial"/>
                <w:sz w:val="16"/>
              </w:rPr>
              <w:t>Directeur en chef, Salubrité alimentaire et Durabilité</w:t>
            </w:r>
          </w:p>
        </w:tc>
        <w:tc>
          <w:tcPr>
            <w:tcW w:w="3764" w:type="dxa"/>
            <w:tcMar>
              <w:top w:w="0" w:type="dxa"/>
              <w:left w:w="53" w:type="dxa"/>
              <w:bottom w:w="0" w:type="dxa"/>
              <w:right w:w="53" w:type="dxa"/>
            </w:tcMar>
          </w:tcPr>
          <w:p w14:paraId="1A211179" w14:textId="77777777" w:rsidR="009908C4" w:rsidRPr="007D4280" w:rsidRDefault="00152032" w:rsidP="00CD31D8">
            <w:pPr>
              <w:tabs>
                <w:tab w:val="left" w:pos="9360"/>
              </w:tabs>
              <w:spacing w:before="33" w:after="30" w:line="300" w:lineRule="auto"/>
              <w:ind w:left="40" w:right="56"/>
              <w:rPr>
                <w:rFonts w:ascii="Arial" w:eastAsia="Arial" w:hAnsi="Arial" w:cs="Arial"/>
                <w:sz w:val="16"/>
                <w:szCs w:val="16"/>
              </w:rPr>
            </w:pPr>
            <w:r w:rsidRPr="007D4280">
              <w:rPr>
                <w:rFonts w:ascii="Arial" w:hAnsi="Arial"/>
                <w:sz w:val="16"/>
              </w:rPr>
              <w:t xml:space="preserve">Directeur en chef, Salubrité alimentaire et Durabilité (depuis juin 2017) </w:t>
            </w:r>
          </w:p>
        </w:tc>
      </w:tr>
      <w:tr w:rsidR="001E3511" w:rsidRPr="007D4280" w14:paraId="5D4F2089" w14:textId="77777777" w:rsidTr="00CD31D8">
        <w:trPr>
          <w:cantSplit/>
        </w:trPr>
        <w:tc>
          <w:tcPr>
            <w:tcW w:w="2693" w:type="dxa"/>
            <w:tcMar>
              <w:top w:w="0" w:type="dxa"/>
              <w:left w:w="53" w:type="dxa"/>
              <w:bottom w:w="0" w:type="dxa"/>
              <w:right w:w="53" w:type="dxa"/>
            </w:tcMar>
          </w:tcPr>
          <w:p w14:paraId="265823A7" w14:textId="77777777" w:rsidR="009908C4" w:rsidRPr="007D4280" w:rsidRDefault="00152032" w:rsidP="00CD31D8">
            <w:pPr>
              <w:tabs>
                <w:tab w:val="left" w:pos="9360"/>
              </w:tabs>
              <w:spacing w:before="33" w:after="30" w:line="300" w:lineRule="auto"/>
              <w:ind w:left="30" w:right="429"/>
              <w:rPr>
                <w:rFonts w:ascii="Arial" w:eastAsia="Arial" w:hAnsi="Arial"/>
                <w:sz w:val="16"/>
              </w:rPr>
            </w:pPr>
            <w:r w:rsidRPr="007D4280">
              <w:rPr>
                <w:rFonts w:ascii="Arial" w:hAnsi="Arial"/>
                <w:sz w:val="16"/>
              </w:rPr>
              <w:t>Omar Javed</w:t>
            </w:r>
          </w:p>
          <w:p w14:paraId="1E5C8048" w14:textId="00F26505" w:rsidR="009908C4" w:rsidRPr="007D4280" w:rsidRDefault="00152032" w:rsidP="00CD31D8">
            <w:pPr>
              <w:tabs>
                <w:tab w:val="left" w:pos="9360"/>
              </w:tabs>
              <w:spacing w:before="33" w:after="30" w:line="300" w:lineRule="auto"/>
              <w:ind w:left="30" w:right="429"/>
              <w:rPr>
                <w:rFonts w:ascii="Arial" w:eastAsia="Arial" w:hAnsi="Arial"/>
                <w:sz w:val="16"/>
              </w:rPr>
            </w:pPr>
            <w:r w:rsidRPr="007D4280">
              <w:rPr>
                <w:rFonts w:ascii="Arial" w:hAnsi="Arial"/>
                <w:sz w:val="16"/>
              </w:rPr>
              <w:t xml:space="preserve">Oakville (Ontario) Canada </w:t>
            </w:r>
          </w:p>
        </w:tc>
        <w:tc>
          <w:tcPr>
            <w:tcW w:w="2907" w:type="dxa"/>
            <w:tcMar>
              <w:top w:w="0" w:type="dxa"/>
              <w:left w:w="53" w:type="dxa"/>
              <w:bottom w:w="0" w:type="dxa"/>
              <w:right w:w="53" w:type="dxa"/>
            </w:tcMar>
          </w:tcPr>
          <w:p w14:paraId="5DB21B7D" w14:textId="77777777" w:rsidR="009908C4" w:rsidRPr="007D4280" w:rsidRDefault="00152032" w:rsidP="00CD31D8">
            <w:pPr>
              <w:tabs>
                <w:tab w:val="left" w:pos="9360"/>
              </w:tabs>
              <w:spacing w:before="33" w:after="30" w:line="300" w:lineRule="auto"/>
              <w:ind w:left="40" w:right="1008"/>
              <w:rPr>
                <w:rFonts w:ascii="Arial" w:eastAsia="Arial" w:hAnsi="Arial" w:cs="Arial"/>
                <w:sz w:val="16"/>
                <w:szCs w:val="16"/>
              </w:rPr>
            </w:pPr>
            <w:r w:rsidRPr="007D4280">
              <w:rPr>
                <w:rFonts w:ascii="Arial" w:hAnsi="Arial"/>
                <w:sz w:val="16"/>
              </w:rPr>
              <w:t>Vice-président, Relations avec les investisseurs</w:t>
            </w:r>
          </w:p>
        </w:tc>
        <w:tc>
          <w:tcPr>
            <w:tcW w:w="3764" w:type="dxa"/>
            <w:tcMar>
              <w:top w:w="0" w:type="dxa"/>
              <w:left w:w="53" w:type="dxa"/>
              <w:bottom w:w="0" w:type="dxa"/>
              <w:right w:w="53" w:type="dxa"/>
            </w:tcMar>
          </w:tcPr>
          <w:p w14:paraId="14D57DFD" w14:textId="1D6A9AD6" w:rsidR="009908C4" w:rsidRPr="007D4280" w:rsidRDefault="00152032" w:rsidP="00CD31D8">
            <w:pPr>
              <w:tabs>
                <w:tab w:val="left" w:pos="9360"/>
              </w:tabs>
              <w:spacing w:before="33" w:after="30" w:line="300" w:lineRule="auto"/>
              <w:ind w:left="40" w:right="56"/>
              <w:rPr>
                <w:rFonts w:ascii="Arial" w:eastAsia="Arial" w:hAnsi="Arial" w:cs="Arial"/>
                <w:sz w:val="16"/>
                <w:szCs w:val="16"/>
              </w:rPr>
            </w:pPr>
            <w:r w:rsidRPr="007D4280">
              <w:rPr>
                <w:rFonts w:ascii="Arial" w:hAnsi="Arial"/>
                <w:sz w:val="16"/>
              </w:rPr>
              <w:t xml:space="preserve">Vice-président, Relations avec les investisseurs (depuis mars 2025); vice-président principal, Relations avec les investisseurs, Hydro One Limited (de novembre 2015 à février 2025)  </w:t>
            </w:r>
          </w:p>
        </w:tc>
      </w:tr>
      <w:tr w:rsidR="001E3511" w:rsidRPr="007D4280" w14:paraId="75EBA8DF" w14:textId="77777777" w:rsidTr="00CD31D8">
        <w:trPr>
          <w:cantSplit/>
        </w:trPr>
        <w:tc>
          <w:tcPr>
            <w:tcW w:w="2693" w:type="dxa"/>
            <w:tcMar>
              <w:top w:w="0" w:type="dxa"/>
              <w:left w:w="53" w:type="dxa"/>
              <w:bottom w:w="0" w:type="dxa"/>
              <w:right w:w="53" w:type="dxa"/>
            </w:tcMar>
          </w:tcPr>
          <w:p w14:paraId="3FA00881" w14:textId="77777777" w:rsidR="009908C4" w:rsidRPr="007D4280" w:rsidRDefault="00152032" w:rsidP="00CD31D8">
            <w:pPr>
              <w:tabs>
                <w:tab w:val="left" w:pos="9360"/>
              </w:tabs>
              <w:spacing w:before="33" w:after="30" w:line="300" w:lineRule="auto"/>
              <w:ind w:left="30" w:right="429"/>
              <w:rPr>
                <w:rFonts w:ascii="Arial" w:eastAsia="Arial" w:hAnsi="Arial" w:cs="Arial"/>
                <w:sz w:val="16"/>
                <w:szCs w:val="16"/>
                <w:lang w:val="en-US"/>
              </w:rPr>
            </w:pPr>
            <w:r w:rsidRPr="007D4280">
              <w:rPr>
                <w:rFonts w:ascii="Arial" w:hAnsi="Arial"/>
                <w:sz w:val="16"/>
                <w:lang w:val="en-US"/>
              </w:rPr>
              <w:t>Joshua H. Kuehnbaum</w:t>
            </w:r>
          </w:p>
          <w:p w14:paraId="79730371" w14:textId="20CF2160" w:rsidR="009908C4" w:rsidRPr="007D4280" w:rsidRDefault="00152032" w:rsidP="00CD31D8">
            <w:pPr>
              <w:tabs>
                <w:tab w:val="left" w:pos="9360"/>
              </w:tabs>
              <w:spacing w:before="33" w:after="30" w:line="300" w:lineRule="auto"/>
              <w:ind w:left="30" w:right="429"/>
              <w:rPr>
                <w:rFonts w:ascii="Arial" w:eastAsia="Arial" w:hAnsi="Arial" w:cs="Arial"/>
                <w:sz w:val="16"/>
                <w:szCs w:val="16"/>
                <w:lang w:val="en-US"/>
              </w:rPr>
            </w:pPr>
            <w:r w:rsidRPr="007D4280">
              <w:rPr>
                <w:rFonts w:ascii="Arial" w:hAnsi="Arial"/>
                <w:sz w:val="16"/>
                <w:lang w:val="en-US"/>
              </w:rPr>
              <w:t>Burlington (Ontario) Canada</w:t>
            </w:r>
          </w:p>
        </w:tc>
        <w:tc>
          <w:tcPr>
            <w:tcW w:w="2907" w:type="dxa"/>
            <w:tcMar>
              <w:top w:w="0" w:type="dxa"/>
              <w:left w:w="53" w:type="dxa"/>
              <w:bottom w:w="0" w:type="dxa"/>
              <w:right w:w="53" w:type="dxa"/>
            </w:tcMar>
          </w:tcPr>
          <w:p w14:paraId="4C580A4C" w14:textId="77777777" w:rsidR="009908C4" w:rsidRPr="007D4280" w:rsidRDefault="00152032" w:rsidP="00CD31D8">
            <w:pPr>
              <w:tabs>
                <w:tab w:val="left" w:pos="9360"/>
              </w:tabs>
              <w:spacing w:before="33" w:after="30" w:line="300" w:lineRule="auto"/>
              <w:ind w:left="40" w:right="128"/>
              <w:rPr>
                <w:rFonts w:ascii="Arial" w:eastAsia="Arial" w:hAnsi="Arial" w:cs="Arial"/>
                <w:sz w:val="16"/>
                <w:szCs w:val="16"/>
              </w:rPr>
            </w:pPr>
            <w:r w:rsidRPr="007D4280">
              <w:rPr>
                <w:rFonts w:ascii="Arial" w:hAnsi="Arial"/>
                <w:sz w:val="16"/>
              </w:rPr>
              <w:t>Vice-président principal, Développement des affaires, clientèle – Canada</w:t>
            </w:r>
          </w:p>
        </w:tc>
        <w:tc>
          <w:tcPr>
            <w:tcW w:w="3764" w:type="dxa"/>
            <w:tcMar>
              <w:top w:w="0" w:type="dxa"/>
              <w:left w:w="53" w:type="dxa"/>
              <w:bottom w:w="0" w:type="dxa"/>
              <w:right w:w="53" w:type="dxa"/>
            </w:tcMar>
          </w:tcPr>
          <w:p w14:paraId="688FF660" w14:textId="10D8294C"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Vice-président principal, Développement des affaires, clientèle – Canada (depuis octobre 2024); vice-président principal, Service alimentaire et développement du commerce international (de décembre 2022 à octobre 2024); vice-président principal, Ventes et marketing, Service alimentaire (de septembre 2018 à décembre 2022).</w:t>
            </w:r>
          </w:p>
        </w:tc>
      </w:tr>
      <w:tr w:rsidR="001E3511" w:rsidRPr="007D4280" w14:paraId="128CB3D6" w14:textId="77777777" w:rsidTr="00CD31D8">
        <w:trPr>
          <w:cantSplit/>
        </w:trPr>
        <w:tc>
          <w:tcPr>
            <w:tcW w:w="2693" w:type="dxa"/>
            <w:tcMar>
              <w:top w:w="0" w:type="dxa"/>
              <w:left w:w="53" w:type="dxa"/>
              <w:bottom w:w="0" w:type="dxa"/>
              <w:right w:w="53" w:type="dxa"/>
            </w:tcMar>
          </w:tcPr>
          <w:p w14:paraId="6CBA77B5" w14:textId="77777777" w:rsidR="009908C4" w:rsidRPr="007D4280" w:rsidRDefault="00152032" w:rsidP="00CD31D8">
            <w:pPr>
              <w:tabs>
                <w:tab w:val="left" w:pos="9360"/>
              </w:tabs>
              <w:spacing w:before="33" w:after="30" w:line="300" w:lineRule="auto"/>
              <w:ind w:left="40" w:right="1449"/>
              <w:rPr>
                <w:rFonts w:ascii="Arial" w:eastAsia="Arial" w:hAnsi="Arial" w:cs="Arial"/>
                <w:sz w:val="16"/>
                <w:szCs w:val="16"/>
                <w:lang w:val="en-US"/>
              </w:rPr>
            </w:pPr>
            <w:r w:rsidRPr="007D4280">
              <w:rPr>
                <w:rFonts w:ascii="Arial" w:hAnsi="Arial"/>
                <w:sz w:val="16"/>
                <w:lang w:val="en-US"/>
              </w:rPr>
              <w:t>Jennifer Lamb</w:t>
            </w:r>
          </w:p>
          <w:p w14:paraId="488F4EF8" w14:textId="1F3B1593" w:rsidR="009908C4" w:rsidRPr="007D4280" w:rsidRDefault="00152032" w:rsidP="00CD31D8">
            <w:pPr>
              <w:tabs>
                <w:tab w:val="left" w:pos="9360"/>
              </w:tabs>
              <w:spacing w:before="33" w:after="30" w:line="300" w:lineRule="auto"/>
              <w:ind w:left="40" w:right="850"/>
              <w:rPr>
                <w:rFonts w:ascii="Arial" w:eastAsia="Arial" w:hAnsi="Arial" w:cs="Arial"/>
                <w:sz w:val="16"/>
                <w:szCs w:val="16"/>
                <w:lang w:val="en-US"/>
              </w:rPr>
            </w:pPr>
            <w:r w:rsidRPr="007D4280">
              <w:rPr>
                <w:rFonts w:ascii="Arial" w:hAnsi="Arial"/>
                <w:sz w:val="16"/>
                <w:lang w:val="en-US"/>
              </w:rPr>
              <w:t>Calgary (Alberta) Canada</w:t>
            </w:r>
          </w:p>
        </w:tc>
        <w:tc>
          <w:tcPr>
            <w:tcW w:w="2907" w:type="dxa"/>
            <w:tcMar>
              <w:top w:w="0" w:type="dxa"/>
              <w:left w:w="53" w:type="dxa"/>
              <w:bottom w:w="0" w:type="dxa"/>
              <w:right w:w="53" w:type="dxa"/>
            </w:tcMar>
          </w:tcPr>
          <w:p w14:paraId="3CD54F71" w14:textId="77777777" w:rsidR="009908C4" w:rsidRPr="007D4280" w:rsidRDefault="00152032" w:rsidP="00CD31D8">
            <w:pPr>
              <w:tabs>
                <w:tab w:val="left" w:pos="9360"/>
              </w:tabs>
              <w:spacing w:before="33" w:after="30" w:line="300" w:lineRule="auto"/>
              <w:ind w:left="40"/>
              <w:rPr>
                <w:rFonts w:ascii="Arial" w:eastAsia="Arial" w:hAnsi="Arial" w:cs="Arial"/>
                <w:sz w:val="16"/>
                <w:szCs w:val="16"/>
              </w:rPr>
            </w:pPr>
            <w:r w:rsidRPr="007D4280">
              <w:rPr>
                <w:rFonts w:ascii="Arial" w:hAnsi="Arial"/>
                <w:sz w:val="16"/>
              </w:rPr>
              <w:t>Secrétaire de direction adjointe</w:t>
            </w:r>
          </w:p>
        </w:tc>
        <w:tc>
          <w:tcPr>
            <w:tcW w:w="3764" w:type="dxa"/>
            <w:tcMar>
              <w:top w:w="0" w:type="dxa"/>
              <w:left w:w="53" w:type="dxa"/>
              <w:bottom w:w="0" w:type="dxa"/>
              <w:right w:w="53" w:type="dxa"/>
            </w:tcMar>
          </w:tcPr>
          <w:p w14:paraId="5E55899A" w14:textId="52DBE6ED"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 xml:space="preserve">Secrétaire de direction adjointe (depuis décembre 2023); technicienne juridique principale (d’août 2022 à décembre 2023); technicienne juridique, Keyera Corp. (de juillet 2008 à juillet 2022). </w:t>
            </w:r>
          </w:p>
        </w:tc>
      </w:tr>
      <w:tr w:rsidR="001E3511" w:rsidRPr="007D4280" w14:paraId="601EBDC6" w14:textId="77777777" w:rsidTr="00CD31D8">
        <w:trPr>
          <w:cantSplit/>
        </w:trPr>
        <w:tc>
          <w:tcPr>
            <w:tcW w:w="2693" w:type="dxa"/>
            <w:tcMar>
              <w:top w:w="0" w:type="dxa"/>
              <w:left w:w="53" w:type="dxa"/>
              <w:bottom w:w="0" w:type="dxa"/>
              <w:right w:w="53" w:type="dxa"/>
            </w:tcMar>
          </w:tcPr>
          <w:p w14:paraId="3ADBD8E2" w14:textId="77777777" w:rsidR="009908C4" w:rsidRPr="007D4280" w:rsidRDefault="00152032" w:rsidP="00CD31D8">
            <w:pPr>
              <w:tabs>
                <w:tab w:val="left" w:pos="9360"/>
              </w:tabs>
              <w:spacing w:before="33" w:after="30" w:line="300" w:lineRule="auto"/>
              <w:ind w:left="40" w:right="1089"/>
              <w:rPr>
                <w:rFonts w:ascii="Arial" w:eastAsia="Arial" w:hAnsi="Arial" w:cs="Arial"/>
                <w:sz w:val="16"/>
                <w:szCs w:val="16"/>
                <w:lang w:val="en-US"/>
              </w:rPr>
            </w:pPr>
            <w:r w:rsidRPr="007D4280">
              <w:rPr>
                <w:rFonts w:ascii="Arial" w:hAnsi="Arial"/>
                <w:sz w:val="16"/>
                <w:lang w:val="en-US"/>
              </w:rPr>
              <w:t>Andreas Liris</w:t>
            </w:r>
          </w:p>
          <w:p w14:paraId="1F1C1C29" w14:textId="41457B2D" w:rsidR="009908C4" w:rsidRPr="007D4280" w:rsidRDefault="00152032" w:rsidP="00CD31D8">
            <w:pPr>
              <w:tabs>
                <w:tab w:val="left" w:pos="9360"/>
              </w:tabs>
              <w:spacing w:before="33" w:after="30" w:line="300" w:lineRule="auto"/>
              <w:ind w:left="40" w:right="1089"/>
              <w:rPr>
                <w:rFonts w:ascii="Arial" w:eastAsia="Arial" w:hAnsi="Arial" w:cs="Arial"/>
                <w:sz w:val="16"/>
                <w:szCs w:val="16"/>
                <w:lang w:val="en-US"/>
              </w:rPr>
            </w:pPr>
            <w:r w:rsidRPr="007D4280">
              <w:rPr>
                <w:rFonts w:ascii="Arial" w:hAnsi="Arial"/>
                <w:sz w:val="16"/>
                <w:lang w:val="en-US"/>
              </w:rPr>
              <w:t>Toronto (Ontario) Canada</w:t>
            </w:r>
          </w:p>
        </w:tc>
        <w:tc>
          <w:tcPr>
            <w:tcW w:w="2907" w:type="dxa"/>
            <w:tcMar>
              <w:top w:w="0" w:type="dxa"/>
              <w:left w:w="53" w:type="dxa"/>
              <w:bottom w:w="0" w:type="dxa"/>
              <w:right w:w="53" w:type="dxa"/>
            </w:tcMar>
          </w:tcPr>
          <w:p w14:paraId="1471245E" w14:textId="77777777" w:rsidR="009908C4" w:rsidRPr="007D4280" w:rsidRDefault="00152032" w:rsidP="00CD31D8">
            <w:pPr>
              <w:tabs>
                <w:tab w:val="left" w:pos="9360"/>
              </w:tabs>
              <w:spacing w:before="33" w:after="30" w:line="300" w:lineRule="auto"/>
              <w:rPr>
                <w:rFonts w:ascii="Arial" w:eastAsia="Arial" w:hAnsi="Arial" w:cs="Arial"/>
                <w:sz w:val="16"/>
                <w:szCs w:val="16"/>
              </w:rPr>
            </w:pPr>
            <w:r w:rsidRPr="007D4280">
              <w:rPr>
                <w:rFonts w:ascii="Arial" w:hAnsi="Arial"/>
                <w:sz w:val="16"/>
              </w:rPr>
              <w:t>Dirigeant principal, Technologie et information</w:t>
            </w:r>
          </w:p>
        </w:tc>
        <w:tc>
          <w:tcPr>
            <w:tcW w:w="3764" w:type="dxa"/>
            <w:tcMar>
              <w:top w:w="0" w:type="dxa"/>
              <w:left w:w="53" w:type="dxa"/>
              <w:bottom w:w="0" w:type="dxa"/>
              <w:right w:w="53" w:type="dxa"/>
            </w:tcMar>
          </w:tcPr>
          <w:p w14:paraId="538CEAF6" w14:textId="10CC0D05" w:rsidR="009908C4" w:rsidRPr="007D4280" w:rsidRDefault="00152032" w:rsidP="00CD31D8">
            <w:pPr>
              <w:spacing w:before="33" w:after="30" w:line="300" w:lineRule="auto"/>
              <w:rPr>
                <w:rFonts w:ascii="Arial" w:hAnsi="Arial" w:cs="Arial"/>
                <w:sz w:val="16"/>
                <w:szCs w:val="16"/>
              </w:rPr>
            </w:pPr>
            <w:r w:rsidRPr="007D4280">
              <w:rPr>
                <w:rFonts w:ascii="Arial" w:hAnsi="Arial"/>
                <w:sz w:val="16"/>
              </w:rPr>
              <w:t xml:space="preserve">Dirigeant principal, Technologie et information </w:t>
            </w:r>
            <w:r w:rsidRPr="007D4280">
              <w:rPr>
                <w:rFonts w:ascii="Arial" w:hAnsi="Arial"/>
                <w:color w:val="000000"/>
                <w:sz w:val="16"/>
              </w:rPr>
              <w:t>(depuis décembre 2022); dirigeant principal de l’information (de février 2015 à décembre 2022).</w:t>
            </w:r>
          </w:p>
        </w:tc>
      </w:tr>
      <w:tr w:rsidR="001E3511" w:rsidRPr="007D4280" w14:paraId="0137283D" w14:textId="77777777" w:rsidTr="00CD31D8">
        <w:trPr>
          <w:cantSplit/>
        </w:trPr>
        <w:tc>
          <w:tcPr>
            <w:tcW w:w="2693" w:type="dxa"/>
            <w:tcMar>
              <w:top w:w="0" w:type="dxa"/>
              <w:left w:w="53" w:type="dxa"/>
              <w:bottom w:w="0" w:type="dxa"/>
              <w:right w:w="53" w:type="dxa"/>
            </w:tcMar>
          </w:tcPr>
          <w:p w14:paraId="1663500A" w14:textId="77777777" w:rsidR="009908C4" w:rsidRPr="007D4280" w:rsidRDefault="00152032" w:rsidP="00CD31D8">
            <w:pPr>
              <w:tabs>
                <w:tab w:val="left" w:pos="9360"/>
              </w:tabs>
              <w:spacing w:before="33" w:after="30" w:line="300" w:lineRule="auto"/>
              <w:ind w:left="40" w:right="508"/>
              <w:rPr>
                <w:rFonts w:ascii="Arial" w:eastAsia="Arial" w:hAnsi="Arial" w:cs="Arial"/>
                <w:sz w:val="16"/>
                <w:szCs w:val="16"/>
                <w:lang w:val="en-US"/>
              </w:rPr>
            </w:pPr>
            <w:r w:rsidRPr="007D4280">
              <w:rPr>
                <w:rFonts w:ascii="Arial" w:hAnsi="Arial"/>
                <w:sz w:val="16"/>
                <w:lang w:val="en-US"/>
              </w:rPr>
              <w:t>Patrick Lutfy</w:t>
            </w:r>
          </w:p>
          <w:p w14:paraId="7B0253D0" w14:textId="3AB84EBF" w:rsidR="009908C4" w:rsidRPr="007D4280" w:rsidRDefault="00152032" w:rsidP="00CD31D8">
            <w:pPr>
              <w:tabs>
                <w:tab w:val="left" w:pos="9360"/>
              </w:tabs>
              <w:spacing w:before="33" w:after="30" w:line="300" w:lineRule="auto"/>
              <w:ind w:left="40" w:right="508"/>
              <w:rPr>
                <w:rFonts w:ascii="Arial" w:eastAsia="Arial" w:hAnsi="Arial" w:cs="Arial"/>
                <w:sz w:val="16"/>
                <w:szCs w:val="16"/>
                <w:lang w:val="en-US"/>
              </w:rPr>
            </w:pPr>
            <w:r w:rsidRPr="007D4280">
              <w:rPr>
                <w:rFonts w:ascii="Arial" w:hAnsi="Arial"/>
                <w:sz w:val="16"/>
                <w:lang w:val="en-US"/>
              </w:rPr>
              <w:t>Toronto (Ontario) Canada</w:t>
            </w:r>
          </w:p>
        </w:tc>
        <w:tc>
          <w:tcPr>
            <w:tcW w:w="2907" w:type="dxa"/>
            <w:tcMar>
              <w:top w:w="0" w:type="dxa"/>
              <w:left w:w="53" w:type="dxa"/>
              <w:bottom w:w="0" w:type="dxa"/>
              <w:right w:w="53" w:type="dxa"/>
            </w:tcMar>
          </w:tcPr>
          <w:p w14:paraId="23565E02" w14:textId="77777777" w:rsidR="009908C4" w:rsidRPr="007D4280" w:rsidRDefault="00152032" w:rsidP="00CD31D8">
            <w:pPr>
              <w:tabs>
                <w:tab w:val="left" w:pos="9360"/>
              </w:tabs>
              <w:spacing w:before="33" w:after="30" w:line="300" w:lineRule="auto"/>
              <w:ind w:left="40" w:right="508"/>
              <w:rPr>
                <w:rFonts w:ascii="Arial" w:eastAsia="Arial" w:hAnsi="Arial" w:cs="Arial"/>
                <w:sz w:val="16"/>
                <w:szCs w:val="16"/>
              </w:rPr>
            </w:pPr>
            <w:r w:rsidRPr="007D4280">
              <w:rPr>
                <w:rFonts w:ascii="Arial" w:hAnsi="Arial"/>
                <w:sz w:val="16"/>
              </w:rPr>
              <w:t>Vice-président principal, Marketing et innovation</w:t>
            </w:r>
          </w:p>
        </w:tc>
        <w:tc>
          <w:tcPr>
            <w:tcW w:w="3764" w:type="dxa"/>
            <w:tcMar>
              <w:top w:w="0" w:type="dxa"/>
              <w:left w:w="53" w:type="dxa"/>
              <w:bottom w:w="0" w:type="dxa"/>
              <w:right w:w="53" w:type="dxa"/>
            </w:tcMar>
          </w:tcPr>
          <w:p w14:paraId="4361278D" w14:textId="7F1C4577" w:rsidR="009908C4" w:rsidRPr="007D4280" w:rsidRDefault="00152032" w:rsidP="00CD31D8">
            <w:pPr>
              <w:spacing w:before="33" w:after="30" w:line="300" w:lineRule="auto"/>
              <w:rPr>
                <w:rFonts w:ascii="Arial" w:eastAsia="Arial" w:hAnsi="Arial" w:cs="Arial"/>
                <w:color w:val="000000"/>
                <w:sz w:val="16"/>
                <w:szCs w:val="16"/>
                <w:shd w:val="clear" w:color="auto" w:fill="FFFF00"/>
              </w:rPr>
            </w:pPr>
            <w:r w:rsidRPr="007D4280">
              <w:rPr>
                <w:rFonts w:ascii="Arial" w:hAnsi="Arial"/>
                <w:color w:val="000000"/>
                <w:sz w:val="16"/>
              </w:rPr>
              <w:t>Vice-président principal, Marketing et innovation (depuis novembre 2024); vice-président principal, Marketing (de décembre 2022 à novembre 2024); vice-président, Marketing et directeur général, Viandes préparées – International (de juin 2021 à décembre 2022); vice-président, Marketing – Viandes préparées (d’août 2016 à juin 2021).</w:t>
            </w:r>
          </w:p>
        </w:tc>
      </w:tr>
      <w:tr w:rsidR="001E3511" w:rsidRPr="007D4280" w14:paraId="07E8CF74" w14:textId="77777777" w:rsidTr="00CD31D8">
        <w:trPr>
          <w:cantSplit/>
        </w:trPr>
        <w:tc>
          <w:tcPr>
            <w:tcW w:w="2693" w:type="dxa"/>
            <w:tcMar>
              <w:top w:w="0" w:type="dxa"/>
              <w:left w:w="53" w:type="dxa"/>
              <w:bottom w:w="0" w:type="dxa"/>
              <w:right w:w="53" w:type="dxa"/>
            </w:tcMar>
          </w:tcPr>
          <w:p w14:paraId="3C0F61BC" w14:textId="77777777" w:rsidR="009908C4" w:rsidRPr="007D4280" w:rsidRDefault="00152032" w:rsidP="00CD31D8">
            <w:pPr>
              <w:tabs>
                <w:tab w:val="left" w:pos="9360"/>
              </w:tabs>
              <w:spacing w:before="33" w:after="30" w:line="300" w:lineRule="auto"/>
              <w:ind w:left="40" w:right="508"/>
              <w:rPr>
                <w:rFonts w:ascii="Arial" w:eastAsia="Arial" w:hAnsi="Arial" w:cs="Arial"/>
                <w:sz w:val="16"/>
                <w:szCs w:val="16"/>
                <w:lang w:val="en-US"/>
              </w:rPr>
            </w:pPr>
            <w:r w:rsidRPr="007D4280">
              <w:rPr>
                <w:rFonts w:ascii="Arial" w:hAnsi="Arial"/>
                <w:sz w:val="16"/>
                <w:lang w:val="en-US"/>
              </w:rPr>
              <w:t>Jason Mayr</w:t>
            </w:r>
          </w:p>
          <w:p w14:paraId="35253E45" w14:textId="662D3286" w:rsidR="009908C4" w:rsidRPr="007D4280" w:rsidRDefault="00152032" w:rsidP="00CD31D8">
            <w:pPr>
              <w:tabs>
                <w:tab w:val="left" w:pos="9360"/>
              </w:tabs>
              <w:spacing w:before="33" w:after="30" w:line="300" w:lineRule="auto"/>
              <w:ind w:left="40" w:right="508"/>
              <w:rPr>
                <w:rFonts w:ascii="Arial" w:eastAsia="Arial" w:hAnsi="Arial" w:cs="Arial"/>
                <w:sz w:val="16"/>
                <w:szCs w:val="16"/>
                <w:lang w:val="en-US"/>
              </w:rPr>
            </w:pPr>
            <w:r w:rsidRPr="007D4280">
              <w:rPr>
                <w:rFonts w:ascii="Arial" w:hAnsi="Arial"/>
                <w:sz w:val="16"/>
                <w:lang w:val="en-US"/>
              </w:rPr>
              <w:t>Toronto (Ontario) Canada</w:t>
            </w:r>
          </w:p>
        </w:tc>
        <w:tc>
          <w:tcPr>
            <w:tcW w:w="2907" w:type="dxa"/>
            <w:tcMar>
              <w:top w:w="0" w:type="dxa"/>
              <w:left w:w="53" w:type="dxa"/>
              <w:bottom w:w="0" w:type="dxa"/>
              <w:right w:w="53" w:type="dxa"/>
            </w:tcMar>
          </w:tcPr>
          <w:p w14:paraId="70D29B41" w14:textId="77777777" w:rsidR="009908C4" w:rsidRPr="007D4280" w:rsidRDefault="00152032" w:rsidP="00CD31D8">
            <w:pPr>
              <w:tabs>
                <w:tab w:val="left" w:pos="9360"/>
              </w:tabs>
              <w:spacing w:before="33" w:after="30" w:line="300" w:lineRule="auto"/>
              <w:ind w:left="40" w:right="508"/>
              <w:rPr>
                <w:rFonts w:ascii="Arial" w:eastAsia="Arial" w:hAnsi="Arial" w:cs="Arial"/>
                <w:sz w:val="16"/>
                <w:szCs w:val="16"/>
              </w:rPr>
            </w:pPr>
            <w:r w:rsidRPr="007D4280">
              <w:rPr>
                <w:rFonts w:ascii="Arial" w:hAnsi="Arial"/>
                <w:sz w:val="16"/>
              </w:rPr>
              <w:t>Vice-président, Finances et trésorier</w:t>
            </w:r>
          </w:p>
        </w:tc>
        <w:tc>
          <w:tcPr>
            <w:tcW w:w="3764" w:type="dxa"/>
            <w:tcMar>
              <w:top w:w="0" w:type="dxa"/>
              <w:left w:w="53" w:type="dxa"/>
              <w:bottom w:w="0" w:type="dxa"/>
              <w:right w:w="53" w:type="dxa"/>
            </w:tcMar>
          </w:tcPr>
          <w:p w14:paraId="5A9B03AC" w14:textId="59370350" w:rsidR="009908C4" w:rsidRPr="007D4280" w:rsidRDefault="00152032" w:rsidP="00CD31D8">
            <w:pPr>
              <w:spacing w:before="33" w:after="30" w:line="300" w:lineRule="auto"/>
              <w:rPr>
                <w:rFonts w:ascii="Arial" w:eastAsia="Arial" w:hAnsi="Arial" w:cs="Arial"/>
                <w:color w:val="000000"/>
                <w:sz w:val="16"/>
                <w:szCs w:val="16"/>
              </w:rPr>
            </w:pPr>
            <w:r w:rsidRPr="007D4280">
              <w:rPr>
                <w:rFonts w:ascii="Arial" w:hAnsi="Arial"/>
                <w:color w:val="000000"/>
                <w:sz w:val="16"/>
              </w:rPr>
              <w:t>Vice-président, Finances et trésorier (depuis juin 2024); chef, Relations avec les investisseurs et trésorier, TELUS International (de juin 2020 à mai 2024); trésorier, TELUS International (de février 2009 à juin 2020); analyste, TELUS International (de mai 2003 à juin 2020).</w:t>
            </w:r>
            <w:r w:rsidRPr="007D4280">
              <w:rPr>
                <w:rFonts w:ascii="Arial" w:hAnsi="Arial"/>
                <w:sz w:val="16"/>
              </w:rPr>
              <w:t xml:space="preserve"> </w:t>
            </w:r>
          </w:p>
        </w:tc>
      </w:tr>
      <w:tr w:rsidR="001E3511" w:rsidRPr="007D4280" w14:paraId="547E8889" w14:textId="77777777" w:rsidTr="00CD31D8">
        <w:trPr>
          <w:cantSplit/>
        </w:trPr>
        <w:tc>
          <w:tcPr>
            <w:tcW w:w="2693" w:type="dxa"/>
            <w:tcMar>
              <w:top w:w="0" w:type="dxa"/>
              <w:left w:w="53" w:type="dxa"/>
              <w:bottom w:w="0" w:type="dxa"/>
              <w:right w:w="53" w:type="dxa"/>
            </w:tcMar>
          </w:tcPr>
          <w:p w14:paraId="096B532F" w14:textId="77777777" w:rsidR="009908C4" w:rsidRPr="007D4280" w:rsidRDefault="00152032" w:rsidP="00CD31D8">
            <w:pPr>
              <w:spacing w:before="33" w:after="30" w:line="300" w:lineRule="auto"/>
              <w:rPr>
                <w:rFonts w:ascii="Arial" w:eastAsia="Arial" w:hAnsi="Arial" w:cs="Arial"/>
                <w:sz w:val="16"/>
                <w:szCs w:val="16"/>
                <w:lang w:val="en-US"/>
              </w:rPr>
            </w:pPr>
            <w:r w:rsidRPr="007D4280">
              <w:rPr>
                <w:rFonts w:ascii="Arial" w:hAnsi="Arial"/>
                <w:sz w:val="16"/>
                <w:lang w:val="en-US"/>
              </w:rPr>
              <w:t xml:space="preserve">Michael H. McCain </w:t>
            </w:r>
          </w:p>
          <w:p w14:paraId="7562F4D5" w14:textId="04876894"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sz w:val="16"/>
                <w:lang w:val="en-US"/>
              </w:rPr>
              <w:t>Toronto (Ontario) Canada</w:t>
            </w:r>
          </w:p>
        </w:tc>
        <w:tc>
          <w:tcPr>
            <w:tcW w:w="2907" w:type="dxa"/>
            <w:tcMar>
              <w:top w:w="0" w:type="dxa"/>
              <w:left w:w="53" w:type="dxa"/>
              <w:bottom w:w="0" w:type="dxa"/>
              <w:right w:w="53" w:type="dxa"/>
            </w:tcMar>
          </w:tcPr>
          <w:p w14:paraId="70578982" w14:textId="77777777" w:rsidR="009908C4" w:rsidRPr="007D4280" w:rsidRDefault="00152032" w:rsidP="00CD31D8">
            <w:pPr>
              <w:spacing w:before="33" w:after="30" w:line="300" w:lineRule="auto"/>
              <w:rPr>
                <w:rFonts w:ascii="Arial" w:eastAsia="Arial" w:hAnsi="Arial" w:cs="Arial"/>
                <w:color w:val="000000"/>
                <w:sz w:val="16"/>
                <w:szCs w:val="16"/>
              </w:rPr>
            </w:pPr>
            <w:r w:rsidRPr="007D4280">
              <w:rPr>
                <w:rFonts w:ascii="Arial" w:hAnsi="Arial"/>
                <w:sz w:val="16"/>
              </w:rPr>
              <w:t xml:space="preserve">Président-directeur du conseil d’administration </w:t>
            </w:r>
          </w:p>
        </w:tc>
        <w:tc>
          <w:tcPr>
            <w:tcW w:w="3764" w:type="dxa"/>
            <w:tcMar>
              <w:top w:w="0" w:type="dxa"/>
              <w:left w:w="53" w:type="dxa"/>
              <w:bottom w:w="0" w:type="dxa"/>
              <w:right w:w="53" w:type="dxa"/>
            </w:tcMar>
          </w:tcPr>
          <w:p w14:paraId="6943436C" w14:textId="2F06AE2D" w:rsidR="009908C4" w:rsidRPr="007D4280" w:rsidRDefault="00152032" w:rsidP="00CD31D8">
            <w:pPr>
              <w:spacing w:before="33" w:after="30" w:line="300" w:lineRule="auto"/>
              <w:rPr>
                <w:rFonts w:ascii="Arial" w:eastAsia="Arial" w:hAnsi="Arial" w:cs="Arial"/>
                <w:color w:val="000000"/>
                <w:sz w:val="16"/>
                <w:szCs w:val="16"/>
              </w:rPr>
            </w:pPr>
            <w:r w:rsidRPr="007D4280">
              <w:rPr>
                <w:rFonts w:ascii="Arial" w:hAnsi="Arial"/>
                <w:sz w:val="16"/>
              </w:rPr>
              <w:t>Président-directeur du conseil d’administration (depuis mai 2022); président et chef de la direction (de janvier 1999 à mai 2022).</w:t>
            </w:r>
          </w:p>
        </w:tc>
      </w:tr>
      <w:tr w:rsidR="001E3511" w:rsidRPr="007D4280" w14:paraId="3C87FC13" w14:textId="77777777" w:rsidTr="00CD31D8">
        <w:trPr>
          <w:cantSplit/>
        </w:trPr>
        <w:tc>
          <w:tcPr>
            <w:tcW w:w="2693" w:type="dxa"/>
            <w:tcMar>
              <w:top w:w="0" w:type="dxa"/>
              <w:left w:w="53" w:type="dxa"/>
              <w:bottom w:w="0" w:type="dxa"/>
              <w:right w:w="53" w:type="dxa"/>
            </w:tcMar>
          </w:tcPr>
          <w:p w14:paraId="1548C4BE" w14:textId="77777777" w:rsidR="009908C4" w:rsidRPr="007D4280" w:rsidRDefault="00152032" w:rsidP="00CD31D8">
            <w:pPr>
              <w:spacing w:before="33" w:after="30" w:line="300" w:lineRule="auto"/>
              <w:rPr>
                <w:rFonts w:ascii="Arial" w:eastAsia="Arial" w:hAnsi="Arial"/>
                <w:color w:val="000000"/>
                <w:sz w:val="16"/>
              </w:rPr>
            </w:pPr>
            <w:r w:rsidRPr="007D4280">
              <w:rPr>
                <w:rFonts w:ascii="Arial" w:hAnsi="Arial"/>
                <w:color w:val="000000"/>
                <w:sz w:val="16"/>
              </w:rPr>
              <w:t xml:space="preserve">Casey Richards </w:t>
            </w:r>
          </w:p>
          <w:p w14:paraId="23B05FC0" w14:textId="42512E83" w:rsidR="009908C4" w:rsidRPr="007D4280" w:rsidRDefault="00152032" w:rsidP="00CD31D8">
            <w:pPr>
              <w:spacing w:before="33" w:after="30" w:line="300" w:lineRule="auto"/>
              <w:rPr>
                <w:rFonts w:ascii="Arial" w:eastAsia="Arial" w:hAnsi="Arial"/>
                <w:color w:val="000000"/>
                <w:sz w:val="16"/>
              </w:rPr>
            </w:pPr>
            <w:proofErr w:type="spellStart"/>
            <w:r w:rsidRPr="007D4280">
              <w:rPr>
                <w:rFonts w:ascii="Arial" w:hAnsi="Arial"/>
                <w:color w:val="000000"/>
                <w:sz w:val="16"/>
              </w:rPr>
              <w:t>Naperville</w:t>
            </w:r>
            <w:proofErr w:type="spellEnd"/>
            <w:r w:rsidRPr="007D4280">
              <w:rPr>
                <w:rFonts w:ascii="Arial" w:hAnsi="Arial"/>
                <w:color w:val="000000"/>
                <w:sz w:val="16"/>
              </w:rPr>
              <w:t xml:space="preserve"> (Illinois)</w:t>
            </w:r>
            <w:r w:rsidRPr="007D4280">
              <w:rPr>
                <w:rFonts w:ascii="Arial" w:hAnsi="Arial"/>
                <w:sz w:val="16"/>
              </w:rPr>
              <w:t xml:space="preserve"> États-Unis</w:t>
            </w:r>
          </w:p>
        </w:tc>
        <w:tc>
          <w:tcPr>
            <w:tcW w:w="2907" w:type="dxa"/>
            <w:tcMar>
              <w:top w:w="0" w:type="dxa"/>
              <w:left w:w="53" w:type="dxa"/>
              <w:bottom w:w="0" w:type="dxa"/>
              <w:right w:w="53" w:type="dxa"/>
            </w:tcMar>
          </w:tcPr>
          <w:p w14:paraId="40562177" w14:textId="77777777" w:rsidR="009908C4" w:rsidRPr="007D4280" w:rsidRDefault="00152032" w:rsidP="00CD31D8">
            <w:pPr>
              <w:tabs>
                <w:tab w:val="left" w:pos="9360"/>
              </w:tabs>
              <w:spacing w:before="33" w:after="30" w:line="300" w:lineRule="auto"/>
              <w:ind w:left="40" w:right="178"/>
              <w:rPr>
                <w:rFonts w:ascii="Arial" w:eastAsia="Arial" w:hAnsi="Arial" w:cs="Arial"/>
                <w:sz w:val="16"/>
                <w:szCs w:val="16"/>
              </w:rPr>
            </w:pPr>
            <w:r w:rsidRPr="007D4280">
              <w:rPr>
                <w:rFonts w:ascii="Arial" w:hAnsi="Arial"/>
                <w:sz w:val="16"/>
              </w:rPr>
              <w:t>Président, Maple Leaf Foods USA</w:t>
            </w:r>
          </w:p>
        </w:tc>
        <w:tc>
          <w:tcPr>
            <w:tcW w:w="3764" w:type="dxa"/>
            <w:tcMar>
              <w:top w:w="0" w:type="dxa"/>
              <w:left w:w="53" w:type="dxa"/>
              <w:bottom w:w="0" w:type="dxa"/>
              <w:right w:w="53" w:type="dxa"/>
            </w:tcMar>
          </w:tcPr>
          <w:p w14:paraId="434EAE78" w14:textId="306EC870"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 xml:space="preserve">Président, les Aliments Maple Leaf USA (depuis février 2024); président et chef de la croissance, les Aliments Maple Leaf (de décembre 2022 à février 2024); vice-président principal, Marketing et innovation, les Aliments Maple Leaf (de septembre 2019 à décembre 2022). </w:t>
            </w:r>
          </w:p>
        </w:tc>
      </w:tr>
      <w:tr w:rsidR="001E3511" w:rsidRPr="007D4280" w14:paraId="4A427AF2" w14:textId="77777777" w:rsidTr="00CD31D8">
        <w:trPr>
          <w:cantSplit/>
        </w:trPr>
        <w:tc>
          <w:tcPr>
            <w:tcW w:w="2693" w:type="dxa"/>
            <w:tcMar>
              <w:top w:w="0" w:type="dxa"/>
              <w:left w:w="53" w:type="dxa"/>
              <w:bottom w:w="0" w:type="dxa"/>
              <w:right w:w="53" w:type="dxa"/>
            </w:tcMar>
          </w:tcPr>
          <w:p w14:paraId="47DE2D82" w14:textId="77777777"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color w:val="000000"/>
                <w:sz w:val="16"/>
                <w:lang w:val="en-US"/>
              </w:rPr>
              <w:t>David Smales</w:t>
            </w:r>
          </w:p>
          <w:p w14:paraId="3184AE71" w14:textId="01654A0D"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color w:val="000000"/>
                <w:sz w:val="16"/>
                <w:lang w:val="en-US"/>
              </w:rPr>
              <w:t>Oakville (Ontario)</w:t>
            </w:r>
            <w:r w:rsidRPr="007D4280">
              <w:rPr>
                <w:rFonts w:ascii="Arial" w:hAnsi="Arial"/>
                <w:sz w:val="16"/>
                <w:lang w:val="en-US"/>
              </w:rPr>
              <w:t xml:space="preserve"> Canada</w:t>
            </w:r>
          </w:p>
        </w:tc>
        <w:tc>
          <w:tcPr>
            <w:tcW w:w="2907" w:type="dxa"/>
            <w:tcMar>
              <w:top w:w="0" w:type="dxa"/>
              <w:left w:w="53" w:type="dxa"/>
              <w:bottom w:w="0" w:type="dxa"/>
              <w:right w:w="53" w:type="dxa"/>
            </w:tcMar>
          </w:tcPr>
          <w:p w14:paraId="4A24F333" w14:textId="77777777" w:rsidR="009908C4" w:rsidRPr="007D4280" w:rsidRDefault="00152032" w:rsidP="00CD31D8">
            <w:pPr>
              <w:tabs>
                <w:tab w:val="left" w:pos="9360"/>
              </w:tabs>
              <w:spacing w:before="33" w:after="30" w:line="300" w:lineRule="auto"/>
              <w:ind w:left="40" w:right="38"/>
              <w:rPr>
                <w:rFonts w:ascii="Arial" w:eastAsia="Arial" w:hAnsi="Arial" w:cs="Arial"/>
                <w:sz w:val="16"/>
                <w:szCs w:val="16"/>
              </w:rPr>
            </w:pPr>
            <w:r w:rsidRPr="007D4280">
              <w:rPr>
                <w:rFonts w:ascii="Arial" w:hAnsi="Arial"/>
                <w:sz w:val="16"/>
              </w:rPr>
              <w:t>Chef des finances</w:t>
            </w:r>
          </w:p>
        </w:tc>
        <w:tc>
          <w:tcPr>
            <w:tcW w:w="3764" w:type="dxa"/>
            <w:tcMar>
              <w:top w:w="0" w:type="dxa"/>
              <w:left w:w="53" w:type="dxa"/>
              <w:bottom w:w="0" w:type="dxa"/>
              <w:right w:w="53" w:type="dxa"/>
            </w:tcMar>
          </w:tcPr>
          <w:p w14:paraId="0692D6AE" w14:textId="3865168D"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 xml:space="preserve">Chef des finances (depuis janvier 2024); vice-président directeur et chef des finances, Groupe </w:t>
            </w:r>
            <w:proofErr w:type="spellStart"/>
            <w:r w:rsidRPr="007D4280">
              <w:rPr>
                <w:rFonts w:ascii="Arial" w:hAnsi="Arial"/>
                <w:sz w:val="16"/>
              </w:rPr>
              <w:t>Aecon</w:t>
            </w:r>
            <w:proofErr w:type="spellEnd"/>
            <w:r w:rsidRPr="007D4280">
              <w:rPr>
                <w:rFonts w:ascii="Arial" w:hAnsi="Arial"/>
                <w:sz w:val="16"/>
              </w:rPr>
              <w:t xml:space="preserve"> Inc. (de novembre 2009 à janvier 2024). </w:t>
            </w:r>
          </w:p>
        </w:tc>
      </w:tr>
      <w:tr w:rsidR="001E3511" w:rsidRPr="007D4280" w14:paraId="005A7C00" w14:textId="77777777" w:rsidTr="00CD31D8">
        <w:trPr>
          <w:cantSplit/>
        </w:trPr>
        <w:tc>
          <w:tcPr>
            <w:tcW w:w="2693" w:type="dxa"/>
            <w:tcMar>
              <w:top w:w="0" w:type="dxa"/>
              <w:left w:w="53" w:type="dxa"/>
              <w:bottom w:w="0" w:type="dxa"/>
              <w:right w:w="53" w:type="dxa"/>
            </w:tcMar>
          </w:tcPr>
          <w:p w14:paraId="7373766B" w14:textId="77777777"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color w:val="000000"/>
                <w:sz w:val="16"/>
                <w:lang w:val="en-US"/>
              </w:rPr>
              <w:t>Ryan Walker</w:t>
            </w:r>
          </w:p>
          <w:p w14:paraId="2F92E547" w14:textId="59F6F426"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color w:val="000000"/>
                <w:sz w:val="16"/>
                <w:lang w:val="en-US"/>
              </w:rPr>
              <w:t>Port Perry (Ontario)</w:t>
            </w:r>
            <w:r w:rsidRPr="007D4280">
              <w:rPr>
                <w:rFonts w:ascii="Arial" w:hAnsi="Arial"/>
                <w:sz w:val="16"/>
                <w:lang w:val="en-US"/>
              </w:rPr>
              <w:t xml:space="preserve"> Canada</w:t>
            </w:r>
          </w:p>
        </w:tc>
        <w:tc>
          <w:tcPr>
            <w:tcW w:w="2907" w:type="dxa"/>
            <w:tcMar>
              <w:top w:w="0" w:type="dxa"/>
              <w:left w:w="53" w:type="dxa"/>
              <w:bottom w:w="0" w:type="dxa"/>
              <w:right w:w="53" w:type="dxa"/>
            </w:tcMar>
          </w:tcPr>
          <w:p w14:paraId="317298C1" w14:textId="77777777" w:rsidR="009908C4" w:rsidRPr="007D4280" w:rsidRDefault="00152032" w:rsidP="00CD31D8">
            <w:pPr>
              <w:tabs>
                <w:tab w:val="left" w:pos="9360"/>
              </w:tabs>
              <w:spacing w:before="33" w:after="30" w:line="300" w:lineRule="auto"/>
              <w:ind w:left="40" w:right="38"/>
              <w:rPr>
                <w:rFonts w:ascii="Arial" w:eastAsia="Arial" w:hAnsi="Arial" w:cs="Arial"/>
                <w:sz w:val="16"/>
                <w:szCs w:val="16"/>
              </w:rPr>
            </w:pPr>
            <w:r w:rsidRPr="007D4280">
              <w:rPr>
                <w:rFonts w:ascii="Arial" w:hAnsi="Arial"/>
                <w:sz w:val="16"/>
              </w:rPr>
              <w:t>Vice-président principal, Volaille</w:t>
            </w:r>
          </w:p>
        </w:tc>
        <w:tc>
          <w:tcPr>
            <w:tcW w:w="3764" w:type="dxa"/>
            <w:tcMar>
              <w:top w:w="0" w:type="dxa"/>
              <w:left w:w="53" w:type="dxa"/>
              <w:bottom w:w="0" w:type="dxa"/>
              <w:right w:w="53" w:type="dxa"/>
            </w:tcMar>
          </w:tcPr>
          <w:p w14:paraId="145AF44A" w14:textId="2288224E"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 xml:space="preserve">Vice-président principal, Volaille (d’octobre 2024 à ce jour); vice-président et directeur général, Viandes de spécialité (de mars 2022 à octobre 2024); vice-président, Stratégie, les Aliments Greenleaf Foods, EFS, une entreprise de produits alimentaires à base végétale et une filiale indépendante en propriété exclusive des Aliments Maple Leaf Inc. (de février 2019 à mars 2022). </w:t>
            </w:r>
          </w:p>
        </w:tc>
      </w:tr>
      <w:tr w:rsidR="001E3511" w:rsidRPr="007D4280" w14:paraId="262AAC28" w14:textId="77777777" w:rsidTr="00CD31D8">
        <w:trPr>
          <w:cantSplit/>
        </w:trPr>
        <w:tc>
          <w:tcPr>
            <w:tcW w:w="2693" w:type="dxa"/>
            <w:tcMar>
              <w:top w:w="0" w:type="dxa"/>
              <w:left w:w="53" w:type="dxa"/>
              <w:bottom w:w="0" w:type="dxa"/>
              <w:right w:w="53" w:type="dxa"/>
            </w:tcMar>
          </w:tcPr>
          <w:p w14:paraId="2A53B98F" w14:textId="77777777"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color w:val="000000"/>
                <w:sz w:val="16"/>
                <w:lang w:val="en-US"/>
              </w:rPr>
              <w:t>Michael Yang</w:t>
            </w:r>
          </w:p>
          <w:p w14:paraId="69026735" w14:textId="399557A9" w:rsidR="009908C4" w:rsidRPr="007D4280" w:rsidRDefault="00152032" w:rsidP="00CD31D8">
            <w:pPr>
              <w:spacing w:before="33" w:after="30" w:line="300" w:lineRule="auto"/>
              <w:rPr>
                <w:rFonts w:ascii="Arial" w:eastAsia="Arial" w:hAnsi="Arial" w:cs="Arial"/>
                <w:color w:val="000000"/>
                <w:sz w:val="16"/>
                <w:szCs w:val="16"/>
                <w:lang w:val="en-US"/>
              </w:rPr>
            </w:pPr>
            <w:r w:rsidRPr="007D4280">
              <w:rPr>
                <w:rFonts w:ascii="Arial" w:hAnsi="Arial"/>
                <w:color w:val="000000"/>
                <w:sz w:val="16"/>
                <w:lang w:val="en-US"/>
              </w:rPr>
              <w:t>Woodbridge (Ontario)</w:t>
            </w:r>
            <w:r w:rsidRPr="007D4280">
              <w:rPr>
                <w:rFonts w:ascii="Arial" w:hAnsi="Arial"/>
                <w:sz w:val="16"/>
                <w:lang w:val="en-US"/>
              </w:rPr>
              <w:t xml:space="preserve"> Canada</w:t>
            </w:r>
          </w:p>
        </w:tc>
        <w:tc>
          <w:tcPr>
            <w:tcW w:w="2907" w:type="dxa"/>
            <w:tcMar>
              <w:top w:w="0" w:type="dxa"/>
              <w:left w:w="53" w:type="dxa"/>
              <w:bottom w:w="0" w:type="dxa"/>
              <w:right w:w="53" w:type="dxa"/>
            </w:tcMar>
          </w:tcPr>
          <w:p w14:paraId="1C3E56B0" w14:textId="77777777" w:rsidR="009908C4" w:rsidRPr="007D4280" w:rsidRDefault="00152032" w:rsidP="00CD31D8">
            <w:pPr>
              <w:tabs>
                <w:tab w:val="left" w:pos="9360"/>
              </w:tabs>
              <w:spacing w:before="33" w:after="30" w:line="300" w:lineRule="auto"/>
              <w:ind w:left="40" w:right="38"/>
              <w:rPr>
                <w:rFonts w:ascii="Arial" w:eastAsia="Arial" w:hAnsi="Arial" w:cs="Arial"/>
                <w:sz w:val="16"/>
                <w:szCs w:val="16"/>
              </w:rPr>
            </w:pPr>
            <w:r w:rsidRPr="007D4280">
              <w:rPr>
                <w:rFonts w:ascii="Arial" w:hAnsi="Arial"/>
                <w:sz w:val="16"/>
              </w:rPr>
              <w:t>Chef de la chaîne d’approvisionnement</w:t>
            </w:r>
          </w:p>
        </w:tc>
        <w:tc>
          <w:tcPr>
            <w:tcW w:w="3764" w:type="dxa"/>
            <w:tcMar>
              <w:top w:w="0" w:type="dxa"/>
              <w:left w:w="53" w:type="dxa"/>
              <w:bottom w:w="0" w:type="dxa"/>
              <w:right w:w="53" w:type="dxa"/>
            </w:tcMar>
          </w:tcPr>
          <w:p w14:paraId="1E907023" w14:textId="543A2D00" w:rsidR="009908C4" w:rsidRPr="007D4280" w:rsidRDefault="00152032" w:rsidP="00CD31D8">
            <w:pPr>
              <w:tabs>
                <w:tab w:val="left" w:pos="9360"/>
              </w:tabs>
              <w:spacing w:before="33" w:after="30" w:line="300" w:lineRule="auto"/>
              <w:ind w:left="40" w:right="57"/>
              <w:rPr>
                <w:rFonts w:ascii="Arial" w:eastAsia="Arial" w:hAnsi="Arial" w:cs="Arial"/>
                <w:sz w:val="16"/>
                <w:szCs w:val="16"/>
              </w:rPr>
            </w:pPr>
            <w:r w:rsidRPr="007D4280">
              <w:rPr>
                <w:rFonts w:ascii="Arial" w:hAnsi="Arial"/>
                <w:sz w:val="16"/>
              </w:rPr>
              <w:t xml:space="preserve">Chef de la chaîne d’approvisionnement (depuis février 2025); vice-président principal, Chaîne d’approvisionnement, Produits Kruger </w:t>
            </w:r>
            <w:proofErr w:type="spellStart"/>
            <w:r w:rsidRPr="007D4280">
              <w:rPr>
                <w:rFonts w:ascii="Arial" w:hAnsi="Arial"/>
                <w:sz w:val="16"/>
              </w:rPr>
              <w:t>inc.</w:t>
            </w:r>
            <w:proofErr w:type="spellEnd"/>
            <w:r w:rsidRPr="007D4280">
              <w:rPr>
                <w:rFonts w:ascii="Arial" w:hAnsi="Arial"/>
                <w:sz w:val="16"/>
              </w:rPr>
              <w:t xml:space="preserve"> (de juin 2019 à janvier 2025) </w:t>
            </w:r>
          </w:p>
        </w:tc>
      </w:tr>
    </w:tbl>
    <w:p w14:paraId="4E1B5246" w14:textId="77777777" w:rsidR="009908C4" w:rsidRPr="007D4280" w:rsidRDefault="009908C4" w:rsidP="009908C4">
      <w:pPr>
        <w:rPr>
          <w:rFonts w:ascii="Arial" w:eastAsia="Arial" w:hAnsi="Arial" w:cs="Arial"/>
          <w:i/>
          <w:sz w:val="18"/>
        </w:rPr>
      </w:pPr>
    </w:p>
    <w:p w14:paraId="093015CF" w14:textId="77777777" w:rsidR="009908C4" w:rsidRPr="007D4280" w:rsidRDefault="00152032" w:rsidP="00BD7E95">
      <w:pPr>
        <w:rPr>
          <w:rFonts w:ascii="Arial" w:eastAsia="Arial" w:hAnsi="Arial"/>
          <w:i/>
          <w:sz w:val="16"/>
        </w:rPr>
      </w:pPr>
      <w:r w:rsidRPr="007D4280">
        <w:rPr>
          <w:rFonts w:ascii="Arial" w:hAnsi="Arial"/>
          <w:i/>
          <w:sz w:val="18"/>
        </w:rPr>
        <w:t>Remarques :</w:t>
      </w:r>
    </w:p>
    <w:p w14:paraId="14C15987" w14:textId="77777777" w:rsidR="009908C4" w:rsidRPr="007D4280" w:rsidRDefault="00152032" w:rsidP="003E4920">
      <w:pPr>
        <w:pStyle w:val="ListParagraph"/>
        <w:numPr>
          <w:ilvl w:val="0"/>
          <w:numId w:val="22"/>
        </w:numPr>
        <w:autoSpaceDE/>
        <w:autoSpaceDN/>
        <w:adjustRightInd/>
        <w:spacing w:before="0" w:after="160" w:line="278" w:lineRule="auto"/>
        <w:contextualSpacing/>
        <w:rPr>
          <w:rFonts w:eastAsia="Arial"/>
          <w:iCs/>
          <w:sz w:val="16"/>
          <w:szCs w:val="16"/>
        </w:rPr>
      </w:pPr>
      <w:r w:rsidRPr="007D4280">
        <w:rPr>
          <w:sz w:val="16"/>
        </w:rPr>
        <w:t xml:space="preserve"> M. Duxbury a été membre de la haute direction jusqu’au 2 janvier 2026.</w:t>
      </w:r>
    </w:p>
    <w:p w14:paraId="5D55E1FF" w14:textId="77777777" w:rsidR="00415482" w:rsidRPr="007D4280" w:rsidRDefault="00415482" w:rsidP="00415482">
      <w:pPr>
        <w:rPr>
          <w:rFonts w:ascii="Arial" w:eastAsia="Arial" w:hAnsi="Arial" w:cs="Arial"/>
          <w:i/>
          <w:sz w:val="18"/>
        </w:rPr>
      </w:pPr>
    </w:p>
    <w:bookmarkEnd w:id="61"/>
    <w:p w14:paraId="3C1F43DD" w14:textId="544F09FD" w:rsidR="00695197" w:rsidRPr="007D4280" w:rsidRDefault="00152032" w:rsidP="00E72EC2">
      <w:pPr>
        <w:spacing w:after="120" w:line="300" w:lineRule="auto"/>
        <w:rPr>
          <w:rFonts w:ascii="Arial" w:eastAsia="Arial" w:hAnsi="Arial" w:cs="Arial"/>
          <w:sz w:val="18"/>
        </w:rPr>
      </w:pPr>
      <w:r w:rsidRPr="007D4280">
        <w:rPr>
          <w:rFonts w:ascii="Arial" w:hAnsi="Arial"/>
          <w:i/>
          <w:sz w:val="18"/>
        </w:rPr>
        <w:t>Propriété de titres avec droit de vote par les administrateurs et les membres de la haute direction</w:t>
      </w:r>
    </w:p>
    <w:p w14:paraId="0AE18ED9" w14:textId="5E97B91F" w:rsidR="00BF7C91" w:rsidRPr="007D4280" w:rsidRDefault="00152032" w:rsidP="00457452">
      <w:pPr>
        <w:shd w:val="clear" w:color="auto" w:fill="FFFFFF" w:themeFill="background1"/>
        <w:spacing w:after="120" w:line="300" w:lineRule="auto"/>
        <w:rPr>
          <w:rFonts w:ascii="Arial" w:eastAsia="Arial" w:hAnsi="Arial" w:cs="Arial"/>
          <w:sz w:val="18"/>
        </w:rPr>
      </w:pPr>
      <w:r w:rsidRPr="007D4280">
        <w:rPr>
          <w:rFonts w:ascii="Arial" w:hAnsi="Arial"/>
          <w:sz w:val="18"/>
        </w:rPr>
        <w:t xml:space="preserve">Au 31 décembre 2025, les administrateurs et les membres de la haute direction, dans leur ensemble, étaient, directement ou indirectement, les propriétaires bénéficiaires de 620 181 actions ordinaires émises et en circulation (environ 0,49 %) de la Société ou exerçaient un contrôle ou une emprise sur ces dernières. Ce nombre n’inclut pas les 49 948 974 d’actions ordinaires (environ 39 % de toutes les actions ordinaires émises) de la Société réputées détenues, directement ou indirectement, par McCain Capital Inc., qui est, selon ce que comprend la Société, sous le contrôle intégral ou majoritaire de M. M.H. McCain. </w:t>
      </w:r>
    </w:p>
    <w:p w14:paraId="12AE7AC6" w14:textId="77777777" w:rsidR="00695197" w:rsidRPr="007D4280" w:rsidRDefault="00152032" w:rsidP="00E72EC2">
      <w:pPr>
        <w:pStyle w:val="AIF-Level2"/>
        <w:outlineLvl w:val="1"/>
      </w:pPr>
      <w:bookmarkStart w:id="64" w:name="_Toc226985992"/>
      <w:bookmarkEnd w:id="60"/>
      <w:r w:rsidRPr="007D4280">
        <w:t>Interdictions d’opérations, faillites, amendes ou sanctions</w:t>
      </w:r>
      <w:bookmarkEnd w:id="64"/>
    </w:p>
    <w:p w14:paraId="516DAA71" w14:textId="77777777" w:rsidR="003E4920" w:rsidRPr="007D4280" w:rsidRDefault="003E4920" w:rsidP="003E4920">
      <w:pPr>
        <w:spacing w:after="120" w:line="300" w:lineRule="auto"/>
        <w:rPr>
          <w:rFonts w:ascii="Arial" w:eastAsia="Arial" w:hAnsi="Arial" w:cs="Arial"/>
          <w:sz w:val="18"/>
        </w:rPr>
      </w:pPr>
      <w:r w:rsidRPr="007D4280">
        <w:rPr>
          <w:rFonts w:ascii="Arial" w:hAnsi="Arial"/>
          <w:sz w:val="18"/>
        </w:rPr>
        <w:t>Sous réserve de ce qui est indiqué ci-dessous, à la connaissance de la Société, aucun administrateur ou dirigeant de la Société (ni aucune société de portefeuille personnelle de l’un de ces particuliers) n’est, à la date du présent document, ou n’a été, au cours des dix années précédant la date du présent document, un administrateur, un chef de la direction ou un chef des finances d’une société (y compris la Société) qui : i) a fait l’objet d’une ordonnance d’interdiction d’opérations (y compris une ordonnance d’interdiction d’opérations par les dirigeants), d’une ordonnance semblable à une ordonnance d’interdiction d’opérations ou d’une ordonnance ayant privé la société concernée de toute dispense prévue par la législation sur les valeurs mobilières, laquelle était en vigueur pendant une période de plus de 30 jours consécutifs (collectivement, une « ordonnance »), et a été rendue alors que le particulier agissait en qualité d’administrateur, de chef de la direction ou de chef des finances; ou ii) a fait l’objet d’une ordonnance qui a été rendue après que le particulier a cessé d’être un administrateur, un chef de la direction ou un chef des finances et qui découlait d’un événement survenu alors que ce particulier agissait en qualité d’administrateur, de chef de la direction ou de chef des finances.</w:t>
      </w:r>
    </w:p>
    <w:p w14:paraId="77309D65" w14:textId="77777777" w:rsidR="003E4920" w:rsidRPr="007D4280" w:rsidRDefault="003E4920" w:rsidP="003E4920">
      <w:pPr>
        <w:spacing w:after="120" w:line="300" w:lineRule="auto"/>
        <w:rPr>
          <w:rFonts w:ascii="Arial" w:eastAsia="Arial" w:hAnsi="Arial" w:cs="Arial"/>
          <w:sz w:val="18"/>
        </w:rPr>
      </w:pPr>
      <w:r w:rsidRPr="007D4280">
        <w:rPr>
          <w:rFonts w:ascii="Arial" w:hAnsi="Arial"/>
          <w:sz w:val="18"/>
        </w:rPr>
        <w:t>Bill Aziz a occupé le poste de chef de la restructuration à Li-Cycle Holdings Corp. (« Li-Cycle ») du 1</w:t>
      </w:r>
      <w:r w:rsidRPr="007D4280">
        <w:rPr>
          <w:rFonts w:ascii="Arial" w:hAnsi="Arial"/>
          <w:sz w:val="18"/>
          <w:vertAlign w:val="superscript"/>
        </w:rPr>
        <w:t>er</w:t>
      </w:r>
      <w:r w:rsidRPr="007D4280">
        <w:rPr>
          <w:rFonts w:ascii="Arial" w:hAnsi="Arial"/>
          <w:sz w:val="18"/>
        </w:rPr>
        <w:t xml:space="preserve"> mai 2025 au 30 janvier 2026. Le 5 juin 2025, la Commission des valeurs mobilières de l’Ontario a émis une ordonnance d’interdiction d’opérations à l’encontre de la société, celle-ci n’ayant pas déposé les informations périodiques requises par la législation ontarienne sur les valeurs mobilières. </w:t>
      </w:r>
    </w:p>
    <w:p w14:paraId="1F131E8F" w14:textId="77777777" w:rsidR="003E4920" w:rsidRPr="007D4280" w:rsidRDefault="003E4920" w:rsidP="003E4920">
      <w:pPr>
        <w:spacing w:after="120" w:line="300" w:lineRule="auto"/>
        <w:rPr>
          <w:rFonts w:ascii="Arial" w:eastAsia="Arial" w:hAnsi="Arial" w:cs="Arial"/>
          <w:sz w:val="18"/>
        </w:rPr>
      </w:pPr>
      <w:r w:rsidRPr="007D4280">
        <w:rPr>
          <w:rFonts w:ascii="Arial" w:hAnsi="Arial"/>
          <w:sz w:val="18"/>
        </w:rPr>
        <w:t xml:space="preserve">Sauf indication contraire ci-dessous, à la connaissance de la Société, aucun administrateur, membre de la haute direction ou personne participant au contrôle de la Société (ni aucune société de portefeuille personnelle de l’un de ces particuliers) : i) n’est, à la date du présent document, ou n’a été, au cours des dix années précédant la date du présent document, un administrateur ou un membre de la haute direction d’une société (y compris la Société) qui, pendant que ce particulier agissait en cette qualité ou au cours de l’année suivant la date à laquelle il a cessé d’agir en cette qualité, a fait faillite, a fait une proposition en vertu d’une législation relative à la faillite ou à l’insolvabilité, a intenté des procédures, un arrangement ou un compromis avec des créanciers ou en a fait l’objet, ou a vu un séquestre, un administrateur séquestre ou un syndic nommé pour détenir ses actifs; ou ii) n’a, au cours des dix années précédant la date du présent document, fait faillite, fait une proposition en vertu d’une législation relative à la faillite ou à l’insolvabilité, intenté des procédures, un arrangement ou un compromis avec des créanciers ou en fait l’objet, ou vu un séquestre, un administrateur séquestre ou un syndic nommé pour détenir les actifs de l’administrateur, du membre de la haute direction ou de l’actionnaire. </w:t>
      </w:r>
    </w:p>
    <w:p w14:paraId="3B8818F5" w14:textId="5501A30C" w:rsidR="003E4920" w:rsidRPr="007D4280" w:rsidRDefault="003E4920" w:rsidP="003E4920">
      <w:pPr>
        <w:spacing w:after="120" w:line="300" w:lineRule="auto"/>
        <w:rPr>
          <w:rFonts w:ascii="Arial" w:eastAsia="Arial" w:hAnsi="Arial" w:cs="Arial"/>
          <w:sz w:val="18"/>
        </w:rPr>
      </w:pPr>
      <w:r w:rsidRPr="007D4280">
        <w:rPr>
          <w:rFonts w:ascii="Arial" w:hAnsi="Arial"/>
          <w:sz w:val="18"/>
        </w:rPr>
        <w:t xml:space="preserve">Gillian Akai a été membre de la haute direction de </w:t>
      </w:r>
      <w:proofErr w:type="spellStart"/>
      <w:r w:rsidRPr="007D4280">
        <w:rPr>
          <w:rFonts w:ascii="Arial" w:hAnsi="Arial"/>
          <w:sz w:val="18"/>
        </w:rPr>
        <w:t>Postmedia</w:t>
      </w:r>
      <w:proofErr w:type="spellEnd"/>
      <w:r w:rsidRPr="007D4280">
        <w:rPr>
          <w:rFonts w:ascii="Arial" w:hAnsi="Arial"/>
          <w:sz w:val="18"/>
        </w:rPr>
        <w:t xml:space="preserve"> Network Canada Corp. (« </w:t>
      </w:r>
      <w:proofErr w:type="spellStart"/>
      <w:r w:rsidRPr="007D4280">
        <w:rPr>
          <w:rFonts w:ascii="Arial" w:hAnsi="Arial"/>
          <w:sz w:val="18"/>
        </w:rPr>
        <w:t>Postmedia</w:t>
      </w:r>
      <w:proofErr w:type="spellEnd"/>
      <w:r w:rsidRPr="007D4280">
        <w:rPr>
          <w:rFonts w:ascii="Arial" w:hAnsi="Arial"/>
          <w:sz w:val="18"/>
        </w:rPr>
        <w:t xml:space="preserve"> ») entre mai 2018 et novembre 2025. Le 5 octobre 2016, </w:t>
      </w:r>
      <w:proofErr w:type="spellStart"/>
      <w:r w:rsidRPr="007D4280">
        <w:rPr>
          <w:rFonts w:ascii="Arial" w:hAnsi="Arial"/>
          <w:sz w:val="18"/>
        </w:rPr>
        <w:t>Postmedia</w:t>
      </w:r>
      <w:proofErr w:type="spellEnd"/>
      <w:r w:rsidRPr="007D4280">
        <w:rPr>
          <w:rFonts w:ascii="Arial" w:hAnsi="Arial"/>
          <w:sz w:val="18"/>
        </w:rPr>
        <w:t xml:space="preserve"> a mené à bien une opération de recapitalisation dans le cadre d’un plan d’arrangement approuvé par le tribunal en vertu de la </w:t>
      </w:r>
      <w:r w:rsidRPr="007D4280">
        <w:rPr>
          <w:rFonts w:ascii="Arial" w:hAnsi="Arial"/>
          <w:i/>
          <w:iCs/>
          <w:sz w:val="18"/>
        </w:rPr>
        <w:t>Loi canadienne sur les sociétés par actions</w:t>
      </w:r>
      <w:r w:rsidRPr="007D4280">
        <w:rPr>
          <w:rFonts w:ascii="Arial" w:hAnsi="Arial"/>
          <w:sz w:val="18"/>
        </w:rPr>
        <w:t xml:space="preserve"> (la « LCSA »), aux termes duquel une dette d’environ 268,6 millions de dollars américains a été échangée contre des actions représentant environ 98 % des actions en circulation de </w:t>
      </w:r>
      <w:proofErr w:type="spellStart"/>
      <w:r w:rsidRPr="007D4280">
        <w:rPr>
          <w:rFonts w:ascii="Arial" w:hAnsi="Arial"/>
          <w:sz w:val="18"/>
        </w:rPr>
        <w:t>Postmedia</w:t>
      </w:r>
      <w:proofErr w:type="spellEnd"/>
      <w:r w:rsidRPr="007D4280">
        <w:rPr>
          <w:rFonts w:ascii="Arial" w:hAnsi="Arial"/>
          <w:sz w:val="18"/>
        </w:rPr>
        <w:t xml:space="preserve"> à cette date. Par ailleurs, </w:t>
      </w:r>
      <w:proofErr w:type="spellStart"/>
      <w:r w:rsidRPr="007D4280">
        <w:rPr>
          <w:rFonts w:ascii="Arial" w:hAnsi="Arial"/>
          <w:sz w:val="18"/>
        </w:rPr>
        <w:t>Postmedia</w:t>
      </w:r>
      <w:proofErr w:type="spellEnd"/>
      <w:r w:rsidRPr="007D4280">
        <w:rPr>
          <w:rFonts w:ascii="Arial" w:hAnsi="Arial"/>
          <w:sz w:val="18"/>
        </w:rPr>
        <w:t xml:space="preserve"> a remboursé, prolongé et modifié les conditions de ses titres de créance en circulation dans le cadre de l’opération de recapitalisation.</w:t>
      </w:r>
    </w:p>
    <w:p w14:paraId="6F325401" w14:textId="77777777" w:rsidR="003E4920" w:rsidRPr="007D4280" w:rsidRDefault="003E4920" w:rsidP="003E4920">
      <w:pPr>
        <w:spacing w:after="120" w:line="300" w:lineRule="auto"/>
        <w:rPr>
          <w:rFonts w:ascii="Arial" w:eastAsia="Arial" w:hAnsi="Arial" w:cs="Arial"/>
          <w:sz w:val="18"/>
        </w:rPr>
      </w:pPr>
      <w:r w:rsidRPr="007D4280">
        <w:rPr>
          <w:rFonts w:ascii="Arial" w:hAnsi="Arial"/>
          <w:sz w:val="18"/>
        </w:rPr>
        <w:t xml:space="preserve">En tant que président de </w:t>
      </w:r>
      <w:proofErr w:type="spellStart"/>
      <w:r w:rsidRPr="007D4280">
        <w:rPr>
          <w:rFonts w:ascii="Arial" w:hAnsi="Arial"/>
          <w:sz w:val="18"/>
        </w:rPr>
        <w:t>BlueTree</w:t>
      </w:r>
      <w:proofErr w:type="spellEnd"/>
      <w:r w:rsidRPr="007D4280">
        <w:rPr>
          <w:rFonts w:ascii="Arial" w:hAnsi="Arial"/>
          <w:sz w:val="18"/>
        </w:rPr>
        <w:t xml:space="preserve"> </w:t>
      </w:r>
      <w:proofErr w:type="spellStart"/>
      <w:r w:rsidRPr="007D4280">
        <w:rPr>
          <w:rFonts w:ascii="Arial" w:hAnsi="Arial"/>
          <w:sz w:val="18"/>
        </w:rPr>
        <w:t>Advisors</w:t>
      </w:r>
      <w:proofErr w:type="spellEnd"/>
      <w:r w:rsidRPr="007D4280">
        <w:rPr>
          <w:rFonts w:ascii="Arial" w:hAnsi="Arial"/>
          <w:sz w:val="18"/>
        </w:rPr>
        <w:t>, Bill Aziz possède plus de 37 ans d’expérience en services de conseils, en redressement et en restructuration d’entreprise. Il possède une vaste expérience nationale et internationale en matière de négociations multipartites, de partenariats stratégiques et d’activités de fusions et acquisitions, et a dirigé, en tant que dirigeant ou membre de conseil d’administration, des restructurations touchant tous les aspects du bilan et des activités opérationnelles dans divers secteurs qui, au cours des dix années précédant la date du présent document, ont compris les rôles suivants :</w:t>
      </w:r>
    </w:p>
    <w:p w14:paraId="78CDA4DE" w14:textId="77777777" w:rsidR="003E4920" w:rsidRPr="007D4280" w:rsidRDefault="003E4920" w:rsidP="003E4920">
      <w:pPr>
        <w:pStyle w:val="ListParagraph"/>
        <w:numPr>
          <w:ilvl w:val="0"/>
          <w:numId w:val="25"/>
        </w:numPr>
        <w:autoSpaceDE/>
        <w:autoSpaceDN/>
        <w:adjustRightInd/>
        <w:spacing w:before="0" w:after="120" w:line="300" w:lineRule="auto"/>
        <w:contextualSpacing/>
        <w:rPr>
          <w:rFonts w:eastAsia="Arial"/>
          <w:sz w:val="18"/>
        </w:rPr>
      </w:pPr>
      <w:r w:rsidRPr="007D4280">
        <w:rPr>
          <w:sz w:val="18"/>
        </w:rPr>
        <w:t>Chef de la restructuration de Li-Cycle du 1</w:t>
      </w:r>
      <w:r w:rsidRPr="007D4280">
        <w:rPr>
          <w:sz w:val="18"/>
          <w:vertAlign w:val="superscript"/>
        </w:rPr>
        <w:t>er</w:t>
      </w:r>
      <w:r w:rsidRPr="007D4280">
        <w:rPr>
          <w:sz w:val="18"/>
        </w:rPr>
        <w:t xml:space="preserve"> mai 2025 au 30 janvier 2026 (administrateur du 7 août 2025 au 30 janvier 2026). En mai 2025, Li-Cycle et certaines de ses filiales ont obtenu la protection contre les créanciers de la Cour supérieure de justice de l’Ontario (la « CSJO ») en vertu de la </w:t>
      </w:r>
      <w:r w:rsidRPr="007D4280">
        <w:rPr>
          <w:i/>
          <w:sz w:val="18"/>
        </w:rPr>
        <w:t>Loi sur les arrangements avec les créanciers des compagnies</w:t>
      </w:r>
      <w:r w:rsidRPr="007D4280">
        <w:rPr>
          <w:sz w:val="18"/>
        </w:rPr>
        <w:t xml:space="preserve"> (Canada) (la « LACC ») et de la United States </w:t>
      </w:r>
      <w:proofErr w:type="spellStart"/>
      <w:r w:rsidRPr="007D4280">
        <w:rPr>
          <w:sz w:val="18"/>
        </w:rPr>
        <w:t>Bankruptcy</w:t>
      </w:r>
      <w:proofErr w:type="spellEnd"/>
      <w:r w:rsidRPr="007D4280">
        <w:rPr>
          <w:sz w:val="18"/>
        </w:rPr>
        <w:t xml:space="preserve"> Court pour le district sud de New York en vertu du chapitre 15 du United States </w:t>
      </w:r>
      <w:proofErr w:type="spellStart"/>
      <w:r w:rsidRPr="007D4280">
        <w:rPr>
          <w:sz w:val="18"/>
        </w:rPr>
        <w:t>Bankruptcy</w:t>
      </w:r>
      <w:proofErr w:type="spellEnd"/>
      <w:r w:rsidRPr="007D4280">
        <w:rPr>
          <w:sz w:val="18"/>
        </w:rPr>
        <w:t xml:space="preserve"> Code. </w:t>
      </w:r>
    </w:p>
    <w:p w14:paraId="043AD841" w14:textId="77777777" w:rsidR="003E4920" w:rsidRPr="007D4280" w:rsidRDefault="003E4920" w:rsidP="003E4920">
      <w:pPr>
        <w:pStyle w:val="ListParagraph"/>
        <w:numPr>
          <w:ilvl w:val="0"/>
          <w:numId w:val="25"/>
        </w:numPr>
        <w:autoSpaceDE/>
        <w:autoSpaceDN/>
        <w:adjustRightInd/>
        <w:spacing w:before="0" w:after="120" w:line="300" w:lineRule="auto"/>
        <w:contextualSpacing/>
        <w:rPr>
          <w:rFonts w:eastAsia="Arial"/>
          <w:sz w:val="18"/>
        </w:rPr>
      </w:pPr>
      <w:r w:rsidRPr="007D4280">
        <w:rPr>
          <w:sz w:val="18"/>
        </w:rPr>
        <w:t xml:space="preserve">Chef de la restructuration chez JTI-Macdonald Corp (« JTIM ») du 8 mars 2019 au 29 août 2025. Le 8 mars 2019, JTIM a obtenu de la CSJO une protection contre ses créanciers en vertu de la LACC, à la suite du rejet de deux recours collectifs liés au tabagisme et à la santé intentés contre trois fabricants de tabac canadiens, dont JTIM. Un plan de compromis et de règlement a été approuvé par la CSJO le 6 mars 2025. </w:t>
      </w:r>
    </w:p>
    <w:p w14:paraId="6086F5FA" w14:textId="77777777" w:rsidR="003E4920" w:rsidRPr="007D4280" w:rsidRDefault="003E4920" w:rsidP="003E4920">
      <w:pPr>
        <w:pStyle w:val="ListParagraph"/>
        <w:numPr>
          <w:ilvl w:val="0"/>
          <w:numId w:val="25"/>
        </w:numPr>
        <w:autoSpaceDE/>
        <w:autoSpaceDN/>
        <w:adjustRightInd/>
        <w:spacing w:before="0" w:after="120" w:line="300" w:lineRule="auto"/>
        <w:contextualSpacing/>
        <w:rPr>
          <w:rFonts w:eastAsia="Arial"/>
          <w:sz w:val="18"/>
        </w:rPr>
      </w:pPr>
      <w:r w:rsidRPr="007D4280">
        <w:rPr>
          <w:sz w:val="18"/>
        </w:rPr>
        <w:t>Chefs des opérations à Xplore Inc. (« Xplore ») du 16 juin 2024 au 26 septembre 2024. Le 24 septembre 2024, Xplore a reçu une ordonnance définitive de la CSJO approuvant un plan d’arrangement en vertu de la LCSA visant à mettre en œuvre une opération de recapitalisation qui a permis de réduire l’endettement garanti de Xplore, avec le soutien des détenteurs de créances garanties et des actionnaires concernés.</w:t>
      </w:r>
    </w:p>
    <w:p w14:paraId="349752C9" w14:textId="77777777" w:rsidR="003E4920" w:rsidRPr="007D4280" w:rsidRDefault="003E4920" w:rsidP="003E4920">
      <w:pPr>
        <w:pStyle w:val="ListParagraph"/>
        <w:numPr>
          <w:ilvl w:val="0"/>
          <w:numId w:val="25"/>
        </w:numPr>
        <w:autoSpaceDE/>
        <w:autoSpaceDN/>
        <w:adjustRightInd/>
        <w:spacing w:before="0" w:after="120" w:line="300" w:lineRule="auto"/>
        <w:contextualSpacing/>
        <w:rPr>
          <w:rFonts w:eastAsia="Arial"/>
          <w:sz w:val="18"/>
        </w:rPr>
      </w:pPr>
      <w:r w:rsidRPr="007D4280">
        <w:rPr>
          <w:sz w:val="18"/>
        </w:rPr>
        <w:t xml:space="preserve">Chef de la restructuration de </w:t>
      </w:r>
      <w:proofErr w:type="spellStart"/>
      <w:r w:rsidRPr="007D4280">
        <w:rPr>
          <w:sz w:val="18"/>
        </w:rPr>
        <w:t>Stelco</w:t>
      </w:r>
      <w:proofErr w:type="spellEnd"/>
      <w:r w:rsidRPr="007D4280">
        <w:rPr>
          <w:sz w:val="18"/>
        </w:rPr>
        <w:t xml:space="preserve"> Inc. (anciennement U.S. Steel Canada Inc.) (« </w:t>
      </w:r>
      <w:proofErr w:type="spellStart"/>
      <w:r w:rsidRPr="007D4280">
        <w:rPr>
          <w:sz w:val="18"/>
        </w:rPr>
        <w:t>Stelco</w:t>
      </w:r>
      <w:proofErr w:type="spellEnd"/>
      <w:r w:rsidRPr="007D4280">
        <w:rPr>
          <w:sz w:val="18"/>
        </w:rPr>
        <w:t xml:space="preserve"> ») du 16 septembre 2014 au 30 juin 2017. Le 16 septembre 2014, </w:t>
      </w:r>
      <w:proofErr w:type="spellStart"/>
      <w:r w:rsidRPr="007D4280">
        <w:rPr>
          <w:sz w:val="18"/>
        </w:rPr>
        <w:t>Stelco</w:t>
      </w:r>
      <w:proofErr w:type="spellEnd"/>
      <w:r w:rsidRPr="007D4280">
        <w:rPr>
          <w:sz w:val="18"/>
        </w:rPr>
        <w:t xml:space="preserve"> a obtenu de la CSJO une protection contre ses créanciers en vertu de la LACC. </w:t>
      </w:r>
      <w:proofErr w:type="spellStart"/>
      <w:r w:rsidRPr="007D4280">
        <w:rPr>
          <w:sz w:val="18"/>
        </w:rPr>
        <w:t>Stelco</w:t>
      </w:r>
      <w:proofErr w:type="spellEnd"/>
      <w:r w:rsidRPr="007D4280">
        <w:rPr>
          <w:sz w:val="18"/>
        </w:rPr>
        <w:t xml:space="preserve"> s’est libérée de la procédure engagée en vertu de la LACC le 30 juin 2017 grâce à la mise en œuvre d’un plan de la LACC. </w:t>
      </w:r>
    </w:p>
    <w:p w14:paraId="2C4FB021" w14:textId="77777777" w:rsidR="003E4920" w:rsidRPr="007D4280" w:rsidRDefault="003E4920" w:rsidP="003E4920">
      <w:pPr>
        <w:pStyle w:val="ListParagraph"/>
        <w:numPr>
          <w:ilvl w:val="0"/>
          <w:numId w:val="25"/>
        </w:numPr>
        <w:autoSpaceDE/>
        <w:autoSpaceDN/>
        <w:adjustRightInd/>
        <w:spacing w:before="0" w:after="120" w:line="300" w:lineRule="auto"/>
        <w:contextualSpacing/>
        <w:rPr>
          <w:rFonts w:eastAsia="Arial"/>
          <w:i/>
          <w:iCs/>
          <w:sz w:val="18"/>
        </w:rPr>
      </w:pPr>
      <w:r w:rsidRPr="007D4280">
        <w:rPr>
          <w:sz w:val="18"/>
        </w:rPr>
        <w:t xml:space="preserve">Chef de la restructuration chez Walter Energy Canada Holdings, Inc. (« Walter ») du 30 décembre 2015 au 28 octobre 2020. Le 7 décembre 2015, Walter a obtenu un sursis à l’exécution de la procédure en vertu de la LACC. La Cour suprême de la Colombie-Britannique a rendu, le 3 juillet 2018, une ordonnance approuvant un plan de compromis et de règlement, et ce plan a été mis en œuvre le 24 avril 2019. Le 21 octobre 2020, Walter a fait des cessions de biens en faveur de ses créanciers, mettant fin aux procédures engagées en vertu de la LACC. </w:t>
      </w:r>
    </w:p>
    <w:p w14:paraId="463ABDBC" w14:textId="4A8458BD" w:rsidR="00BF7C91" w:rsidRPr="007D4280" w:rsidRDefault="003E4920" w:rsidP="00E72EC2">
      <w:pPr>
        <w:spacing w:after="120" w:line="300" w:lineRule="auto"/>
        <w:rPr>
          <w:rFonts w:ascii="Arial" w:eastAsia="Arial" w:hAnsi="Arial" w:cs="Arial"/>
          <w:b/>
          <w:bCs/>
          <w:sz w:val="18"/>
        </w:rPr>
      </w:pPr>
      <w:r w:rsidRPr="007D4280">
        <w:rPr>
          <w:rFonts w:ascii="Arial" w:hAnsi="Arial"/>
          <w:sz w:val="18"/>
        </w:rPr>
        <w:t>À la connaissance de la Société, aucun administrateur, membre de la haute direction ou personne participant au contrôle de la Société (ni aucune société de portefeuille personnelle de l’un de ces particuliers) n’a fait l’objet : i) de pénalités ou de sanctions imposées par un tribunal relativement à la législation sur les valeurs mobilières ou par une autorité de réglementation des valeurs mobilières, ou n’a conclu de règlement avec une autorité de réglementation des valeurs mobilières; ou ii) de toute autre pénalité ou sanction imposée par un tribunal ou un organisme de réglementation qui serait probablement considérée comme importante pour un investisseur raisonnable dans la prise d’une décision d’investissement.</w:t>
      </w:r>
    </w:p>
    <w:p w14:paraId="72F1A2EE" w14:textId="4944B885" w:rsidR="00695197" w:rsidRPr="007D4280" w:rsidRDefault="00152032" w:rsidP="00E72EC2">
      <w:pPr>
        <w:pStyle w:val="AIF-Level1"/>
        <w:outlineLvl w:val="0"/>
      </w:pPr>
      <w:bookmarkStart w:id="65" w:name="_Toc226985993"/>
      <w:r w:rsidRPr="007D4280">
        <w:t>COMITÉ D’AUDIT</w:t>
      </w:r>
      <w:bookmarkEnd w:id="65"/>
    </w:p>
    <w:p w14:paraId="77A10B84" w14:textId="77777777" w:rsidR="0066499A" w:rsidRPr="007D4280" w:rsidRDefault="00152032" w:rsidP="0066499A">
      <w:pPr>
        <w:pStyle w:val="AIF-Level2"/>
        <w:outlineLvl w:val="1"/>
      </w:pPr>
      <w:bookmarkStart w:id="66" w:name="_Toc226985994"/>
      <w:bookmarkStart w:id="67" w:name="_Hlk63941961"/>
      <w:bookmarkStart w:id="68" w:name="_Hlk158808855"/>
      <w:bookmarkStart w:id="69" w:name="_Hlk122350390"/>
      <w:r w:rsidRPr="007D4280">
        <w:t>Composition du comité d’audit</w:t>
      </w:r>
      <w:bookmarkEnd w:id="66"/>
    </w:p>
    <w:p w14:paraId="5C83CC89" w14:textId="3AD8F45A" w:rsidR="0066499A" w:rsidRPr="007D4280" w:rsidRDefault="00152032" w:rsidP="0066499A">
      <w:pPr>
        <w:spacing w:after="120" w:line="300" w:lineRule="auto"/>
        <w:rPr>
          <w:rFonts w:ascii="Arial" w:eastAsia="Arial" w:hAnsi="Arial" w:cs="Arial"/>
          <w:sz w:val="18"/>
        </w:rPr>
      </w:pPr>
      <w:r w:rsidRPr="007D4280">
        <w:rPr>
          <w:rFonts w:ascii="Arial" w:hAnsi="Arial"/>
          <w:sz w:val="18"/>
        </w:rPr>
        <w:t>Le comité d’audit des Aliments Maple Leaf est composé des membres suivants :</w:t>
      </w:r>
      <w:r w:rsidRPr="007D4280">
        <w:rPr>
          <w:rFonts w:ascii="Arial" w:hAnsi="Arial"/>
          <w:color w:val="000000"/>
          <w:sz w:val="18"/>
        </w:rPr>
        <w:t xml:space="preserve"> W.E. Aziz (président), F. Khan, A. Macdonald, L. Mantia et K. N. Lemon. </w:t>
      </w:r>
      <w:r w:rsidRPr="007D4280">
        <w:rPr>
          <w:rFonts w:ascii="Arial" w:hAnsi="Arial"/>
          <w:sz w:val="18"/>
        </w:rPr>
        <w:t xml:space="preserve">Chaque membre du comité d’audit est indépendant au sens des lois sur les valeurs mobilières applicables et aucun ne reçoit de rémunération, directe ou indirecte, de la Société autre que celle liée à ses services à titre de membre du conseil d’administration et des comités de ce dernier. Chaque membre du comité d’audit possède des compétences financières selon la définition du </w:t>
      </w:r>
      <w:r w:rsidRPr="007D4280">
        <w:rPr>
          <w:rFonts w:ascii="Arial" w:hAnsi="Arial"/>
          <w:i/>
          <w:sz w:val="18"/>
        </w:rPr>
        <w:t>Règlement 52-110 sur le comité d’audit</w:t>
      </w:r>
      <w:r w:rsidRPr="007D4280">
        <w:rPr>
          <w:rFonts w:ascii="Arial" w:hAnsi="Arial"/>
          <w:sz w:val="18"/>
        </w:rPr>
        <w:t>. Parmi les critères utilisés pour juger des compétences financières des administrateurs, le conseil d’administration évalue la capacité de lire et de comprendre un bilan, des états financiers et un état des flux de trésorerie d’un degré de complexité comparable à ceux de la Société. Une copie de la charte du comité d’audit est fournie à l’annexe A des présentes.</w:t>
      </w:r>
    </w:p>
    <w:p w14:paraId="474A7AC3" w14:textId="77777777" w:rsidR="0066499A" w:rsidRPr="007D4280" w:rsidRDefault="00152032" w:rsidP="0066499A">
      <w:pPr>
        <w:pStyle w:val="AIF-Level2"/>
        <w:outlineLvl w:val="1"/>
      </w:pPr>
      <w:bookmarkStart w:id="70" w:name="_Toc226985995"/>
      <w:r w:rsidRPr="007D4280">
        <w:t>Formation et expérience pertinentes des membres du comité d’audit</w:t>
      </w:r>
      <w:bookmarkEnd w:id="70"/>
    </w:p>
    <w:p w14:paraId="0F546043" w14:textId="77777777" w:rsidR="0066499A" w:rsidRPr="007D4280" w:rsidRDefault="00152032" w:rsidP="0066499A">
      <w:pPr>
        <w:spacing w:after="120" w:line="300" w:lineRule="auto"/>
        <w:rPr>
          <w:rFonts w:ascii="Arial" w:eastAsia="Arial" w:hAnsi="Arial" w:cs="Arial"/>
          <w:sz w:val="18"/>
        </w:rPr>
      </w:pPr>
      <w:r w:rsidRPr="007D4280">
        <w:rPr>
          <w:rFonts w:ascii="Arial" w:hAnsi="Arial"/>
          <w:i/>
          <w:sz w:val="18"/>
        </w:rPr>
        <w:t>W.E. Aziz, FCPA, FCA</w:t>
      </w:r>
    </w:p>
    <w:p w14:paraId="32FDA084" w14:textId="3022F73D" w:rsidR="0066499A" w:rsidRPr="007D4280" w:rsidRDefault="00152032" w:rsidP="0066499A">
      <w:pPr>
        <w:spacing w:after="120" w:line="300" w:lineRule="auto"/>
        <w:rPr>
          <w:rFonts w:ascii="Arial" w:eastAsia="Arial" w:hAnsi="Arial" w:cs="Arial"/>
          <w:sz w:val="18"/>
        </w:rPr>
      </w:pPr>
      <w:r w:rsidRPr="007D4280">
        <w:rPr>
          <w:rFonts w:ascii="Arial" w:hAnsi="Arial"/>
          <w:sz w:val="18"/>
        </w:rPr>
        <w:t xml:space="preserve">Par l’intermédiaire de </w:t>
      </w:r>
      <w:proofErr w:type="spellStart"/>
      <w:r w:rsidRPr="007D4280">
        <w:rPr>
          <w:rFonts w:ascii="Arial" w:hAnsi="Arial"/>
          <w:sz w:val="18"/>
        </w:rPr>
        <w:t>BlueTree</w:t>
      </w:r>
      <w:proofErr w:type="spellEnd"/>
      <w:r w:rsidRPr="007D4280">
        <w:rPr>
          <w:rFonts w:ascii="Arial" w:hAnsi="Arial"/>
          <w:sz w:val="18"/>
        </w:rPr>
        <w:t> </w:t>
      </w:r>
      <w:proofErr w:type="spellStart"/>
      <w:r w:rsidRPr="007D4280">
        <w:rPr>
          <w:rFonts w:ascii="Arial" w:hAnsi="Arial"/>
          <w:sz w:val="18"/>
        </w:rPr>
        <w:t>Advisors</w:t>
      </w:r>
      <w:proofErr w:type="spellEnd"/>
      <w:r w:rsidRPr="007D4280">
        <w:rPr>
          <w:rFonts w:ascii="Arial" w:hAnsi="Arial"/>
          <w:sz w:val="18"/>
        </w:rPr>
        <w:t xml:space="preserve">, M. Aziz fournit actuellement ses services à titre de chef de la restructuration à diverses sociétés ouvertes et fermées dans le cadre de leur restructuration. M. Aziz a également été un administrateur, le président du comité de rémunération et un membre des comités d’opérations entre parties liées et d’audit d’Atlantica </w:t>
      </w:r>
      <w:proofErr w:type="spellStart"/>
      <w:r w:rsidRPr="007D4280">
        <w:rPr>
          <w:rFonts w:ascii="Arial" w:hAnsi="Arial"/>
          <w:sz w:val="18"/>
        </w:rPr>
        <w:t>Sustainable</w:t>
      </w:r>
      <w:proofErr w:type="spellEnd"/>
      <w:r w:rsidRPr="007D4280">
        <w:rPr>
          <w:rFonts w:ascii="Arial" w:hAnsi="Arial"/>
          <w:sz w:val="18"/>
        </w:rPr>
        <w:t xml:space="preserve"> Infrastructure jusqu’à sa vente en décembre 2024 et sa conversion en société privée. En 2019, il a cessé d’exercer ses fonctions de président du comité des placements et de membre du comité des ressources humaines du Régime de retraite des employés municipaux de l’Ontario et du conseil de leadership du </w:t>
      </w:r>
      <w:proofErr w:type="spellStart"/>
      <w:r w:rsidRPr="007D4280">
        <w:rPr>
          <w:rFonts w:ascii="Arial" w:hAnsi="Arial"/>
          <w:sz w:val="18"/>
        </w:rPr>
        <w:t>Ihnatowycz</w:t>
      </w:r>
      <w:proofErr w:type="spellEnd"/>
      <w:r w:rsidRPr="007D4280">
        <w:rPr>
          <w:rFonts w:ascii="Arial" w:hAnsi="Arial"/>
          <w:sz w:val="18"/>
        </w:rPr>
        <w:t xml:space="preserve"> Institute for Leadership à l’Ivey Business School de l’Université Western (Ivey). M. Aziz a obtenu un baccalauréat spécialisé en administration des affaires (avec distinction) d’Ivey et il est Fellow comptable professionnel agréé (FCPA, FCA). Il a également suivi le programme de formation de l’Institute of Corporate </w:t>
      </w:r>
      <w:proofErr w:type="spellStart"/>
      <w:r w:rsidRPr="007D4280">
        <w:rPr>
          <w:rFonts w:ascii="Arial" w:hAnsi="Arial"/>
          <w:sz w:val="18"/>
        </w:rPr>
        <w:t>Directors</w:t>
      </w:r>
      <w:proofErr w:type="spellEnd"/>
      <w:r w:rsidRPr="007D4280">
        <w:rPr>
          <w:rFonts w:ascii="Arial" w:hAnsi="Arial"/>
          <w:sz w:val="18"/>
        </w:rPr>
        <w:t xml:space="preserve"> </w:t>
      </w:r>
      <w:proofErr w:type="spellStart"/>
      <w:r w:rsidRPr="007D4280">
        <w:rPr>
          <w:rFonts w:ascii="Arial" w:hAnsi="Arial"/>
          <w:sz w:val="18"/>
        </w:rPr>
        <w:t>Governance</w:t>
      </w:r>
      <w:proofErr w:type="spellEnd"/>
      <w:r w:rsidRPr="007D4280">
        <w:rPr>
          <w:rFonts w:ascii="Arial" w:hAnsi="Arial"/>
          <w:sz w:val="18"/>
        </w:rPr>
        <w:t xml:space="preserve"> College de la Rotman School of Business de l’Université de Toronto et il est membre de l’Institut d’insolvabilité du Canada. </w:t>
      </w:r>
    </w:p>
    <w:p w14:paraId="75F360CD" w14:textId="77777777" w:rsidR="009A3C1C" w:rsidRPr="007D4280" w:rsidRDefault="00152032" w:rsidP="00D34F00">
      <w:pPr>
        <w:widowControl w:val="0"/>
        <w:spacing w:after="120" w:line="300" w:lineRule="auto"/>
        <w:rPr>
          <w:rFonts w:ascii="Arial" w:eastAsia="Arial" w:hAnsi="Arial" w:cs="Arial"/>
          <w:i/>
          <w:iCs/>
          <w:sz w:val="18"/>
        </w:rPr>
      </w:pPr>
      <w:r w:rsidRPr="007D4280">
        <w:rPr>
          <w:rFonts w:ascii="Arial" w:hAnsi="Arial"/>
          <w:i/>
          <w:sz w:val="18"/>
        </w:rPr>
        <w:t>F. Khan</w:t>
      </w:r>
    </w:p>
    <w:p w14:paraId="4857DA9C" w14:textId="49AAF34F" w:rsidR="009A3C1C" w:rsidRPr="007D4280" w:rsidRDefault="00152032" w:rsidP="00D34F00">
      <w:pPr>
        <w:widowControl w:val="0"/>
        <w:spacing w:after="120" w:line="300" w:lineRule="auto"/>
        <w:rPr>
          <w:rFonts w:ascii="Arial" w:eastAsia="Arial" w:hAnsi="Arial" w:cs="Arial"/>
          <w:sz w:val="18"/>
        </w:rPr>
      </w:pPr>
      <w:r w:rsidRPr="007D4280">
        <w:rPr>
          <w:rFonts w:ascii="Arial" w:hAnsi="Arial"/>
          <w:sz w:val="18"/>
        </w:rPr>
        <w:t xml:space="preserve">M. Khan est un cadre supérieur possédant une vaste expérience dans divers secteurs dans des postes de direction stratégique et opérationnelle du financement d’entreprise, du premier appel public à l’épargne et de la transformation d’entreprise au fil de plus de 30 ans de carrière. M. Khan a une grande expérience de l’industrie alimentaire grâce à des rôles de haute direction chez Kellogg et US Foods. M. Khan cumule plus de dix ans d’expérience comme directeur financier de grandes sociétés diversifiées cotées en bourse et de société soutenues par capital-investissement ayant des modèles perturbateurs à forte croissance. Il a de l’expérience dans l’établissement des bases d’une bonne gestion financière, dont un esprit d’équipe, l’amélioration des processus et des mesures de contrôle. M. Khan a entraîné une croissance transformationnelle sur de nouvelles plateformes, dans des marchés mondiaux émergents et par des fusions et acquisitions. Il a dirigé des initiatives d’efficacité pluriannuelles complexes et a une expérience approfondie des marchés financiers, puisqu’il a participé à l’entrée en bourse de deux sociétés et préparé le terrain pour l’admission d’une troisième entreprise. Au début de sa carrière, il a acquis une vaste expérience en leadership opérationnel et en stratégie. Il a notamment dirigé les activités américaines de la United States </w:t>
      </w:r>
      <w:proofErr w:type="spellStart"/>
      <w:r w:rsidRPr="007D4280">
        <w:rPr>
          <w:rFonts w:ascii="Arial" w:hAnsi="Arial"/>
          <w:sz w:val="18"/>
        </w:rPr>
        <w:t>Gypsum</w:t>
      </w:r>
      <w:proofErr w:type="spellEnd"/>
      <w:r w:rsidRPr="007D4280">
        <w:rPr>
          <w:rFonts w:ascii="Arial" w:hAnsi="Arial"/>
          <w:sz w:val="18"/>
        </w:rPr>
        <w:t xml:space="preserve"> Corporation, dont le chiffre d’affaires s’élève à 4 milliards de dollars, à titre de président et chef de la direction, et a cumulé plus de cinq ans d’expérience en conseil stratégique chez McKinsey &amp; Company. Il est titulaire d’une maîtrise en administration des affaires de l’Université de Chicago et d’un baccalauréat en génie de l’Université Carleton. Il est membre du conseil des visiteurs et du conseil consultatif de génie de l’Université Wake Forest et a été membre du conseil de </w:t>
      </w:r>
      <w:proofErr w:type="spellStart"/>
      <w:r w:rsidRPr="007D4280">
        <w:rPr>
          <w:rFonts w:ascii="Arial" w:hAnsi="Arial"/>
          <w:sz w:val="18"/>
        </w:rPr>
        <w:t>Foundation</w:t>
      </w:r>
      <w:proofErr w:type="spellEnd"/>
      <w:r w:rsidRPr="007D4280">
        <w:rPr>
          <w:rFonts w:ascii="Arial" w:hAnsi="Arial"/>
          <w:sz w:val="18"/>
        </w:rPr>
        <w:t xml:space="preserve"> Building Materials. M. Khan est actuellement chef des finances d’Imperial Dade. </w:t>
      </w:r>
    </w:p>
    <w:p w14:paraId="4703A7F1" w14:textId="77777777" w:rsidR="0066499A" w:rsidRPr="007D4280" w:rsidRDefault="00152032" w:rsidP="0066499A">
      <w:pPr>
        <w:keepNext/>
        <w:spacing w:after="120" w:line="300" w:lineRule="auto"/>
        <w:rPr>
          <w:rFonts w:ascii="Arial" w:eastAsia="Arial" w:hAnsi="Arial" w:cs="Arial"/>
          <w:sz w:val="18"/>
        </w:rPr>
      </w:pPr>
      <w:r w:rsidRPr="007D4280">
        <w:rPr>
          <w:rFonts w:ascii="Arial" w:hAnsi="Arial"/>
          <w:i/>
          <w:sz w:val="18"/>
        </w:rPr>
        <w:t>A. Macdonald</w:t>
      </w:r>
    </w:p>
    <w:p w14:paraId="224EC7E6" w14:textId="6C19A013" w:rsidR="0003600F" w:rsidRPr="007D4280" w:rsidRDefault="00152032" w:rsidP="0003600F">
      <w:pPr>
        <w:spacing w:after="1" w:line="300" w:lineRule="auto"/>
        <w:rPr>
          <w:rFonts w:ascii="Arial" w:eastAsia="Arial" w:hAnsi="Arial" w:cs="Arial"/>
          <w:sz w:val="18"/>
        </w:rPr>
      </w:pPr>
      <w:r w:rsidRPr="007D4280">
        <w:rPr>
          <w:rFonts w:ascii="Arial" w:hAnsi="Arial"/>
          <w:sz w:val="18"/>
        </w:rPr>
        <w:t>M. Macdonald est président et chef de l’exploitation à Uber, dont il dirige les initiatives commerciales dans les secteurs de la mobilité et de la livraison, ainsi que les activités multiplateformes tel</w:t>
      </w:r>
      <w:r w:rsidR="00196B2B">
        <w:rPr>
          <w:rFonts w:ascii="Arial" w:hAnsi="Arial"/>
          <w:sz w:val="18"/>
        </w:rPr>
        <w:t>le</w:t>
      </w:r>
      <w:r w:rsidRPr="007D4280">
        <w:rPr>
          <w:rFonts w:ascii="Arial" w:hAnsi="Arial"/>
          <w:sz w:val="18"/>
        </w:rPr>
        <w:t>s que la publicité, le soutien à la clientèle et la stratégie de l’entreprise en matière de véhicules autonomes. Auparavant, M. Macdonald a occupé le poste de vice-président principal à la mobilité et aux opérations commerciales à Uber, où il dirigeait les activités liées à la mobilité de l’entreprise dans plus de 70 pays. Il était notamment responsable du covoiturage, des taxis, de la micromobilité, des locations, des transports en commun, des véhicules à grande capacité et bien plus encore. Avant de se joindre à Uber, M. Macdonald a été entrepreneur et consultant en gestion chez Bain &amp; Company. M. Macdonald siège au conseil d’administration de Lime, une entreprise qui propose des solutions de micromobilité abordables et en libre-service dans des villes du monde entier. M. Macdonald est titulaire d’un baccalauréat spécialisé en administration des affaires de l’Ivey Business School de l’Université Western.</w:t>
      </w:r>
    </w:p>
    <w:p w14:paraId="4E6ADFFB" w14:textId="77777777" w:rsidR="0066499A" w:rsidRPr="007D4280" w:rsidRDefault="0066499A" w:rsidP="0066499A">
      <w:pPr>
        <w:spacing w:after="1" w:line="300" w:lineRule="auto"/>
        <w:rPr>
          <w:rFonts w:ascii="Arial" w:eastAsia="Arial" w:hAnsi="Arial" w:cs="Arial"/>
          <w:sz w:val="18"/>
        </w:rPr>
      </w:pPr>
    </w:p>
    <w:p w14:paraId="751F869C" w14:textId="77777777" w:rsidR="0066499A" w:rsidRPr="007D4280" w:rsidRDefault="00152032" w:rsidP="0066499A">
      <w:pPr>
        <w:keepNext/>
        <w:spacing w:after="120" w:line="300" w:lineRule="auto"/>
        <w:rPr>
          <w:rFonts w:ascii="Arial" w:eastAsia="Arial" w:hAnsi="Arial" w:cs="Arial"/>
          <w:i/>
          <w:sz w:val="18"/>
        </w:rPr>
      </w:pPr>
      <w:r w:rsidRPr="007D4280">
        <w:rPr>
          <w:rFonts w:ascii="Arial" w:hAnsi="Arial"/>
          <w:i/>
          <w:sz w:val="18"/>
        </w:rPr>
        <w:t>L. Mantia</w:t>
      </w:r>
    </w:p>
    <w:p w14:paraId="6B700FAA" w14:textId="5533B2EB" w:rsidR="0003600F" w:rsidRPr="007D4280" w:rsidRDefault="00152032" w:rsidP="0003600F">
      <w:pPr>
        <w:spacing w:after="120" w:line="300" w:lineRule="auto"/>
        <w:rPr>
          <w:rFonts w:ascii="Arial" w:eastAsia="Arial" w:hAnsi="Arial" w:cs="Arial"/>
          <w:sz w:val="18"/>
        </w:rPr>
      </w:pPr>
      <w:bookmarkStart w:id="71" w:name="_Hlk189839163"/>
      <w:r w:rsidRPr="007D4280">
        <w:rPr>
          <w:rFonts w:ascii="Arial" w:hAnsi="Arial"/>
          <w:sz w:val="18"/>
        </w:rPr>
        <w:t>M</w:t>
      </w:r>
      <w:r w:rsidRPr="007D4280">
        <w:rPr>
          <w:rFonts w:ascii="Arial" w:hAnsi="Arial"/>
          <w:sz w:val="18"/>
          <w:vertAlign w:val="superscript"/>
        </w:rPr>
        <w:t>me</w:t>
      </w:r>
      <w:r w:rsidRPr="007D4280">
        <w:rPr>
          <w:rFonts w:ascii="Arial" w:hAnsi="Arial"/>
          <w:sz w:val="18"/>
        </w:rPr>
        <w:t> Mantia est administratrice de sociétés. Elle a déjà occupé le poste de chef de l’exploitation de la Société financière Manuvie, une société internationale de services financiers et d’assurance. Elle a aussi occupé différents postes de direction au sein de la Banque Royale du Canada, notamment celui de vice-présidente directrice, Services bancaires en ligne, cartes et paiements. Auparavant, M</w:t>
      </w:r>
      <w:r w:rsidRPr="007D4280">
        <w:rPr>
          <w:rFonts w:ascii="Arial" w:hAnsi="Arial"/>
          <w:sz w:val="18"/>
          <w:vertAlign w:val="superscript"/>
        </w:rPr>
        <w:t>me</w:t>
      </w:r>
      <w:r w:rsidRPr="007D4280">
        <w:rPr>
          <w:rFonts w:ascii="Arial" w:hAnsi="Arial"/>
          <w:sz w:val="18"/>
        </w:rPr>
        <w:t xml:space="preserve"> Mantia a été conseillère à l’échelle internationale pour McKinsey &amp; Company et a exercé le droit au sein de Davies Ward Phillips &amp; Vineberg S.E.N.C.R.L., </w:t>
      </w:r>
      <w:proofErr w:type="spellStart"/>
      <w:r w:rsidRPr="007D4280">
        <w:rPr>
          <w:rFonts w:ascii="Arial" w:hAnsi="Arial"/>
          <w:sz w:val="18"/>
        </w:rPr>
        <w:t>s.r.l</w:t>
      </w:r>
      <w:proofErr w:type="spellEnd"/>
      <w:r w:rsidRPr="007D4280">
        <w:rPr>
          <w:rFonts w:ascii="Arial" w:hAnsi="Arial"/>
          <w:sz w:val="18"/>
        </w:rPr>
        <w:t>.  M</w:t>
      </w:r>
      <w:r w:rsidRPr="007D4280">
        <w:rPr>
          <w:rFonts w:ascii="Arial" w:hAnsi="Arial"/>
          <w:sz w:val="18"/>
          <w:vertAlign w:val="superscript"/>
        </w:rPr>
        <w:t>me</w:t>
      </w:r>
      <w:r w:rsidRPr="007D4280">
        <w:rPr>
          <w:rFonts w:ascii="Arial" w:hAnsi="Arial"/>
          <w:sz w:val="18"/>
        </w:rPr>
        <w:t xml:space="preserve"> Mantia siège actuellement au conseil d’administration de Liberty </w:t>
      </w:r>
      <w:proofErr w:type="spellStart"/>
      <w:r w:rsidRPr="007D4280">
        <w:rPr>
          <w:rFonts w:ascii="Arial" w:hAnsi="Arial"/>
          <w:sz w:val="18"/>
        </w:rPr>
        <w:t>Mutual</w:t>
      </w:r>
      <w:proofErr w:type="spellEnd"/>
      <w:r w:rsidRPr="007D4280">
        <w:rPr>
          <w:rFonts w:ascii="Arial" w:hAnsi="Arial"/>
          <w:sz w:val="18"/>
        </w:rPr>
        <w:t xml:space="preserve"> Insurance, du </w:t>
      </w:r>
      <w:proofErr w:type="spellStart"/>
      <w:r w:rsidRPr="007D4280">
        <w:rPr>
          <w:rFonts w:ascii="Arial" w:hAnsi="Arial"/>
          <w:sz w:val="18"/>
        </w:rPr>
        <w:t>Sunnybrook</w:t>
      </w:r>
      <w:proofErr w:type="spellEnd"/>
      <w:r w:rsidRPr="007D4280">
        <w:rPr>
          <w:rFonts w:ascii="Arial" w:hAnsi="Arial"/>
          <w:sz w:val="18"/>
        </w:rPr>
        <w:t xml:space="preserve"> Health Sciences Centre, de l’Université </w:t>
      </w:r>
      <w:proofErr w:type="spellStart"/>
      <w:r w:rsidRPr="007D4280">
        <w:rPr>
          <w:rFonts w:ascii="Arial" w:hAnsi="Arial"/>
          <w:sz w:val="18"/>
        </w:rPr>
        <w:t>Queen’s</w:t>
      </w:r>
      <w:proofErr w:type="spellEnd"/>
      <w:r w:rsidRPr="007D4280">
        <w:rPr>
          <w:rFonts w:ascii="Arial" w:hAnsi="Arial"/>
          <w:sz w:val="18"/>
        </w:rPr>
        <w:t xml:space="preserve"> et de diverses autres sociétés privées. M</w:t>
      </w:r>
      <w:r w:rsidRPr="007D4280">
        <w:rPr>
          <w:rFonts w:ascii="Arial" w:hAnsi="Arial"/>
          <w:sz w:val="18"/>
          <w:vertAlign w:val="superscript"/>
        </w:rPr>
        <w:t>me</w:t>
      </w:r>
      <w:r w:rsidRPr="007D4280">
        <w:rPr>
          <w:rFonts w:ascii="Arial" w:hAnsi="Arial"/>
          <w:sz w:val="18"/>
        </w:rPr>
        <w:t> Mantia siège actuellement au conseil d’administration de McKesson Corporation, une société diversifiée cotée à la Bourse de New York qui est un chef de file des services de soins de santé. Elle y a présidé le comité de rémunération et de gestion des talents et a été membre du comité de gouvernance et de durabilité. M</w:t>
      </w:r>
      <w:r w:rsidRPr="007D4280">
        <w:rPr>
          <w:rFonts w:ascii="Arial" w:hAnsi="Arial"/>
          <w:sz w:val="18"/>
          <w:vertAlign w:val="superscript"/>
        </w:rPr>
        <w:t>me</w:t>
      </w:r>
      <w:r w:rsidRPr="007D4280">
        <w:rPr>
          <w:rFonts w:ascii="Arial" w:hAnsi="Arial"/>
          <w:sz w:val="18"/>
        </w:rPr>
        <w:t xml:space="preserve"> Mantia est titulaire d’un diplôme en droit de l’Université </w:t>
      </w:r>
      <w:proofErr w:type="spellStart"/>
      <w:r w:rsidRPr="007D4280">
        <w:rPr>
          <w:rFonts w:ascii="Arial" w:hAnsi="Arial"/>
          <w:sz w:val="18"/>
        </w:rPr>
        <w:t>Queen’s</w:t>
      </w:r>
      <w:proofErr w:type="spellEnd"/>
      <w:r w:rsidRPr="007D4280">
        <w:rPr>
          <w:rFonts w:ascii="Arial" w:hAnsi="Arial"/>
          <w:sz w:val="18"/>
        </w:rPr>
        <w:t>. Elle a figuré au palmarès des 100 femmes les plus puissantes au Canada à deux reprises.</w:t>
      </w:r>
    </w:p>
    <w:bookmarkEnd w:id="71"/>
    <w:p w14:paraId="0F51475F" w14:textId="78CB452B" w:rsidR="0066499A" w:rsidRPr="007D4280" w:rsidRDefault="00152032" w:rsidP="0066499A">
      <w:pPr>
        <w:keepNext/>
        <w:spacing w:after="120" w:line="300" w:lineRule="auto"/>
        <w:rPr>
          <w:rFonts w:ascii="Arial" w:eastAsia="Arial" w:hAnsi="Arial" w:cs="Arial"/>
          <w:sz w:val="18"/>
        </w:rPr>
      </w:pPr>
      <w:r w:rsidRPr="007D4280">
        <w:rPr>
          <w:rFonts w:ascii="Arial" w:hAnsi="Arial"/>
          <w:i/>
          <w:sz w:val="18"/>
        </w:rPr>
        <w:t>K.N. Lemon, Ph. D.</w:t>
      </w:r>
    </w:p>
    <w:p w14:paraId="3C2BAF86" w14:textId="0B5C68C6" w:rsidR="0066499A" w:rsidRPr="007D4280" w:rsidRDefault="00152032" w:rsidP="0066499A">
      <w:pPr>
        <w:spacing w:after="1" w:line="300" w:lineRule="auto"/>
        <w:rPr>
          <w:rFonts w:ascii="Arial" w:eastAsia="Arial" w:hAnsi="Arial" w:cs="Arial"/>
          <w:sz w:val="18"/>
        </w:rPr>
      </w:pPr>
      <w:r w:rsidRPr="007D4280">
        <w:rPr>
          <w:rFonts w:ascii="Arial" w:hAnsi="Arial"/>
          <w:sz w:val="18"/>
        </w:rPr>
        <w:t>M</w:t>
      </w:r>
      <w:r w:rsidRPr="007D4280">
        <w:rPr>
          <w:rFonts w:ascii="Arial" w:hAnsi="Arial"/>
          <w:sz w:val="18"/>
          <w:vertAlign w:val="superscript"/>
        </w:rPr>
        <w:t>me</w:t>
      </w:r>
      <w:r w:rsidRPr="007D4280">
        <w:rPr>
          <w:rFonts w:ascii="Arial" w:hAnsi="Arial"/>
          <w:sz w:val="18"/>
        </w:rPr>
        <w:t> Lemon est administratrice de sociétés, professeure émérite et ancienne professeure fondatrice Accenture à la Carroll School of Management du Boston College. Elle a également été présidente et membre du conseil d’administration de l’American Marketing Association, un organisme axé sur l’excellence en marketing et qui fournit des ressources aux entreprises et au milieu universitaire. Elle est l’ancienne directrice générale du Marketing Science Institute, un organisme sans but lucratif qui met la science du marketing au service des pratiques de gestion; elle a également siégé au conseil d’administration de cet institut. Ses travaux de recherche portent sur les moteurs clés de la croissance des entreprises à partir de la perspective du consommateur. Elle y élabore des modèles quantitatifs qui permettent aux entreprises d’augmenter considérablement le rendement en capital marketing investi. Ses travaux primés ont été mis en œuvre dans des entreprises du monde entier, et elle est reconnue mondialement comme experte de la compréhension du consommateur et de la fidélisation. Elle a fait partie du corps professoral de la Harvard Business School, de la Fuqua School of Business de l’Université Duke et de l’Université de Groningen aux Pays-Bas. Elle a enseigné et mené des études dans des entreprises et des universités partout dans le monde, mettant l’accent sur les biens de consommation et les services. Elle a conseillé de nombreuses sociétés ouvertes et a siégé à plusieurs conseils consultatifs en marketing. Elle a obtenu son doctorat à l’Université de la Californie à Berkeley.</w:t>
      </w:r>
    </w:p>
    <w:p w14:paraId="51CC3BBF" w14:textId="77777777" w:rsidR="003E6F40" w:rsidRPr="007D4280" w:rsidRDefault="003E6F40" w:rsidP="00E72EC2">
      <w:pPr>
        <w:spacing w:after="1" w:line="300" w:lineRule="auto"/>
        <w:rPr>
          <w:rFonts w:ascii="Arial" w:eastAsia="Arial" w:hAnsi="Arial" w:cs="Arial"/>
          <w:sz w:val="18"/>
        </w:rPr>
      </w:pPr>
    </w:p>
    <w:p w14:paraId="65546FE9" w14:textId="53504276" w:rsidR="00695197" w:rsidRPr="007D4280" w:rsidRDefault="00152032" w:rsidP="00E72EC2">
      <w:pPr>
        <w:keepNext/>
        <w:keepLines/>
        <w:widowControl w:val="0"/>
        <w:spacing w:after="120" w:line="300" w:lineRule="auto"/>
        <w:rPr>
          <w:rFonts w:ascii="Arial" w:eastAsia="Arial" w:hAnsi="Arial" w:cs="Arial"/>
          <w:i/>
          <w:sz w:val="18"/>
          <w:shd w:val="clear" w:color="auto" w:fill="FFFFFF"/>
        </w:rPr>
      </w:pPr>
      <w:r w:rsidRPr="007D4280">
        <w:rPr>
          <w:rFonts w:ascii="Arial" w:hAnsi="Arial"/>
          <w:i/>
          <w:sz w:val="18"/>
          <w:shd w:val="clear" w:color="auto" w:fill="FFFFFF"/>
        </w:rPr>
        <w:t xml:space="preserve">Honoraires payés aux auditeurs – KPMG </w:t>
      </w:r>
      <w:proofErr w:type="spellStart"/>
      <w:r w:rsidRPr="007D4280">
        <w:rPr>
          <w:rFonts w:ascii="Arial" w:hAnsi="Arial"/>
          <w:i/>
          <w:sz w:val="18"/>
          <w:shd w:val="clear" w:color="auto" w:fill="FFFFFF"/>
        </w:rPr>
        <w:t>s.r.l</w:t>
      </w:r>
      <w:proofErr w:type="spellEnd"/>
      <w:r w:rsidRPr="007D4280">
        <w:rPr>
          <w:rFonts w:ascii="Arial" w:hAnsi="Arial"/>
          <w:i/>
          <w:sz w:val="18"/>
          <w:shd w:val="clear" w:color="auto" w:fill="FFFFFF"/>
        </w:rPr>
        <w:t>./S.E.N.C.R.L.</w:t>
      </w:r>
    </w:p>
    <w:p w14:paraId="5DD41108" w14:textId="3F37F526" w:rsidR="00D23E51" w:rsidRPr="007D4280" w:rsidRDefault="00152032" w:rsidP="00D23E51">
      <w:pPr>
        <w:keepNext/>
        <w:keepLines/>
        <w:widowControl w:val="0"/>
        <w:spacing w:after="120" w:line="300" w:lineRule="auto"/>
        <w:rPr>
          <w:rFonts w:ascii="Arial" w:eastAsia="Arial" w:hAnsi="Arial" w:cs="Arial"/>
          <w:sz w:val="18"/>
          <w:shd w:val="clear" w:color="auto" w:fill="FFFFFF"/>
        </w:rPr>
      </w:pPr>
      <w:r w:rsidRPr="007D4280">
        <w:rPr>
          <w:rFonts w:ascii="Arial" w:hAnsi="Arial"/>
          <w:sz w:val="18"/>
          <w:shd w:val="clear" w:color="auto" w:fill="FFFFFF"/>
        </w:rPr>
        <w:t xml:space="preserve">Les honoraires payés au cabinet d’audit KPMG </w:t>
      </w:r>
      <w:proofErr w:type="spellStart"/>
      <w:r w:rsidRPr="007D4280">
        <w:rPr>
          <w:rFonts w:ascii="Arial" w:hAnsi="Arial"/>
          <w:sz w:val="18"/>
          <w:shd w:val="clear" w:color="auto" w:fill="FFFFFF"/>
        </w:rPr>
        <w:t>s.r.l</w:t>
      </w:r>
      <w:proofErr w:type="spellEnd"/>
      <w:r w:rsidRPr="007D4280">
        <w:rPr>
          <w:rFonts w:ascii="Arial" w:hAnsi="Arial"/>
          <w:sz w:val="18"/>
          <w:shd w:val="clear" w:color="auto" w:fill="FFFFFF"/>
        </w:rPr>
        <w:t>./S.E.N.C.R.L</w:t>
      </w:r>
      <w:r w:rsidR="00196B2B">
        <w:rPr>
          <w:rFonts w:ascii="Arial" w:hAnsi="Arial"/>
          <w:sz w:val="18"/>
          <w:shd w:val="clear" w:color="auto" w:fill="FFFFFF"/>
        </w:rPr>
        <w:t>.</w:t>
      </w:r>
      <w:r w:rsidRPr="007D4280">
        <w:rPr>
          <w:rFonts w:ascii="Arial" w:hAnsi="Arial"/>
          <w:sz w:val="18"/>
          <w:shd w:val="clear" w:color="auto" w:fill="FFFFFF"/>
        </w:rPr>
        <w:t xml:space="preserve"> pour les services fournis au cours de l’exercice ayant pris fin les 31 décembre 2025 et 2024 sont indiqués dans le tableau ci-dessous. Chaque année, le comité d’audit examine un sommaire des services fournis par le cabinet à la Société et à ses filiales. En 2004, le comité d’audit a établi une politique exigeant l’approbation préalable de tous les services autres que l’audit devant être fournis par les auditeurs externes. Tout mandat confié par la Société au cabinet KPMG </w:t>
      </w:r>
      <w:proofErr w:type="spellStart"/>
      <w:r w:rsidRPr="007D4280">
        <w:rPr>
          <w:rFonts w:ascii="Arial" w:hAnsi="Arial"/>
          <w:sz w:val="18"/>
          <w:shd w:val="clear" w:color="auto" w:fill="FFFFFF"/>
        </w:rPr>
        <w:t>s.r.l</w:t>
      </w:r>
      <w:proofErr w:type="spellEnd"/>
      <w:r w:rsidRPr="007D4280">
        <w:rPr>
          <w:rFonts w:ascii="Arial" w:hAnsi="Arial"/>
          <w:sz w:val="18"/>
          <w:shd w:val="clear" w:color="auto" w:fill="FFFFFF"/>
        </w:rPr>
        <w:t xml:space="preserve">./S.E.N.C.R.L. pour des services autres que l’audit doit être approuvé à l’avance par le comité d’audit. Entre les réunions du comité d’audit, le pouvoir d’approbation est délégué au président du comité. Les approbations données par le président au nom du comité d’audit sont présentées à l’ensemble des membres du comité lors de la réunion suivante. De plus, la politique interdit qu’un mandat soit confié au cabinet KPMG </w:t>
      </w:r>
      <w:proofErr w:type="spellStart"/>
      <w:r w:rsidRPr="007D4280">
        <w:rPr>
          <w:rFonts w:ascii="Arial" w:hAnsi="Arial"/>
          <w:sz w:val="18"/>
          <w:shd w:val="clear" w:color="auto" w:fill="FFFFFF"/>
        </w:rPr>
        <w:t>s.r.l</w:t>
      </w:r>
      <w:proofErr w:type="spellEnd"/>
      <w:r w:rsidRPr="007D4280">
        <w:rPr>
          <w:rFonts w:ascii="Arial" w:hAnsi="Arial"/>
          <w:sz w:val="18"/>
          <w:shd w:val="clear" w:color="auto" w:fill="FFFFFF"/>
        </w:rPr>
        <w:t>./S.E.N.C.R.L. pour des services qui, selon le comité d’audit, pourraient compromettre l’indépendance du cabinet.</w:t>
      </w:r>
    </w:p>
    <w:p w14:paraId="2B9E4211" w14:textId="77777777" w:rsidR="00D23E51" w:rsidRPr="007D4280" w:rsidRDefault="00152032" w:rsidP="00D23E51">
      <w:pPr>
        <w:spacing w:after="120" w:line="300" w:lineRule="auto"/>
        <w:rPr>
          <w:rFonts w:ascii="Arial" w:eastAsia="Arial" w:hAnsi="Arial" w:cs="Arial"/>
          <w:sz w:val="18"/>
          <w:shd w:val="clear" w:color="auto" w:fill="FFFFFF"/>
        </w:rPr>
      </w:pPr>
      <w:r w:rsidRPr="007D4280">
        <w:rPr>
          <w:rFonts w:ascii="Arial" w:hAnsi="Arial"/>
          <w:sz w:val="18"/>
          <w:shd w:val="clear" w:color="auto" w:fill="FFFFFF"/>
        </w:rPr>
        <w:t>Au cours des deux derniers exercices, le cabinet KPMG n’a fourni aucun des services suivants à la Société :</w:t>
      </w:r>
    </w:p>
    <w:p w14:paraId="71594616"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i)</w:t>
      </w:r>
      <w:r w:rsidRPr="007D4280">
        <w:rPr>
          <w:rFonts w:ascii="Arial" w:hAnsi="Arial"/>
          <w:sz w:val="18"/>
          <w:shd w:val="clear" w:color="auto" w:fill="FFFFFF"/>
        </w:rPr>
        <w:tab/>
        <w:t>services de tenue de livres et autres services liés aux registres comptables ou aux états financiers;</w:t>
      </w:r>
    </w:p>
    <w:p w14:paraId="08E2B7E0"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ii)</w:t>
      </w:r>
      <w:r w:rsidRPr="007D4280">
        <w:rPr>
          <w:rFonts w:ascii="Arial" w:hAnsi="Arial"/>
          <w:sz w:val="18"/>
          <w:shd w:val="clear" w:color="auto" w:fill="FFFFFF"/>
        </w:rPr>
        <w:tab/>
        <w:t>services de conception et de mise en œuvre des systèmes d’information financière;</w:t>
      </w:r>
    </w:p>
    <w:p w14:paraId="7CB4C5D7"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iii)</w:t>
      </w:r>
      <w:r w:rsidRPr="007D4280">
        <w:rPr>
          <w:rFonts w:ascii="Arial" w:hAnsi="Arial"/>
          <w:sz w:val="18"/>
          <w:shd w:val="clear" w:color="auto" w:fill="FFFFFF"/>
        </w:rPr>
        <w:tab/>
        <w:t>services d’évaluation, d’attestation d’équité ou de rapports sur les apports en nature;</w:t>
      </w:r>
    </w:p>
    <w:p w14:paraId="3E16D586"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iv)</w:t>
      </w:r>
      <w:r w:rsidRPr="007D4280">
        <w:rPr>
          <w:rFonts w:ascii="Arial" w:hAnsi="Arial"/>
          <w:sz w:val="18"/>
          <w:shd w:val="clear" w:color="auto" w:fill="FFFFFF"/>
        </w:rPr>
        <w:tab/>
        <w:t>services d’actuariat;</w:t>
      </w:r>
    </w:p>
    <w:p w14:paraId="0D0A3872"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v)</w:t>
      </w:r>
      <w:r w:rsidRPr="007D4280">
        <w:rPr>
          <w:rFonts w:ascii="Arial" w:hAnsi="Arial"/>
          <w:sz w:val="18"/>
          <w:shd w:val="clear" w:color="auto" w:fill="FFFFFF"/>
        </w:rPr>
        <w:tab/>
        <w:t>services d’impartition d’audit interne;</w:t>
      </w:r>
    </w:p>
    <w:p w14:paraId="5C241AD2"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vi)</w:t>
      </w:r>
      <w:r w:rsidRPr="007D4280">
        <w:rPr>
          <w:rFonts w:ascii="Arial" w:hAnsi="Arial"/>
          <w:sz w:val="18"/>
          <w:shd w:val="clear" w:color="auto" w:fill="FFFFFF"/>
        </w:rPr>
        <w:tab/>
        <w:t>fonctions de gestion;</w:t>
      </w:r>
    </w:p>
    <w:p w14:paraId="7025C6F9"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vii)</w:t>
      </w:r>
      <w:r w:rsidRPr="007D4280">
        <w:rPr>
          <w:rFonts w:ascii="Arial" w:hAnsi="Arial"/>
          <w:sz w:val="18"/>
          <w:shd w:val="clear" w:color="auto" w:fill="FFFFFF"/>
        </w:rPr>
        <w:tab/>
        <w:t>services de ressources humaines;</w:t>
      </w:r>
    </w:p>
    <w:p w14:paraId="744F32BE"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viii)</w:t>
      </w:r>
      <w:r w:rsidRPr="007D4280">
        <w:rPr>
          <w:rFonts w:ascii="Arial" w:hAnsi="Arial"/>
          <w:sz w:val="18"/>
          <w:shd w:val="clear" w:color="auto" w:fill="FFFFFF"/>
        </w:rPr>
        <w:tab/>
        <w:t>services de courtage de valeurs, services-conseils en placements ou services bancaires d’investissement;</w:t>
      </w:r>
    </w:p>
    <w:p w14:paraId="1D5A9FA2" w14:textId="77777777" w:rsidR="00D23E51" w:rsidRPr="007D4280" w:rsidRDefault="00152032" w:rsidP="00D23E51">
      <w:pPr>
        <w:tabs>
          <w:tab w:val="left" w:pos="1260"/>
        </w:tabs>
        <w:spacing w:after="120" w:line="300" w:lineRule="auto"/>
        <w:ind w:left="720"/>
        <w:rPr>
          <w:rFonts w:ascii="Arial" w:eastAsia="Arial" w:hAnsi="Arial" w:cs="Arial"/>
          <w:sz w:val="18"/>
          <w:shd w:val="clear" w:color="auto" w:fill="FFFFFF"/>
        </w:rPr>
      </w:pPr>
      <w:r w:rsidRPr="007D4280">
        <w:rPr>
          <w:rFonts w:ascii="Arial" w:hAnsi="Arial"/>
          <w:sz w:val="18"/>
          <w:shd w:val="clear" w:color="auto" w:fill="FFFFFF"/>
        </w:rPr>
        <w:t>ix)</w:t>
      </w:r>
      <w:r w:rsidRPr="007D4280">
        <w:rPr>
          <w:rFonts w:ascii="Arial" w:hAnsi="Arial"/>
          <w:sz w:val="18"/>
          <w:shd w:val="clear" w:color="auto" w:fill="FFFFFF"/>
        </w:rPr>
        <w:tab/>
        <w:t>services juridiques et services d’experts-conseils non liés à l’audit.</w:t>
      </w:r>
    </w:p>
    <w:p w14:paraId="38AAC007" w14:textId="77777777" w:rsidR="00D23E51" w:rsidRPr="007D4280" w:rsidRDefault="00D23E51" w:rsidP="00D23E51">
      <w:pPr>
        <w:tabs>
          <w:tab w:val="left" w:pos="9360"/>
        </w:tabs>
        <w:spacing w:after="2" w:line="300" w:lineRule="auto"/>
        <w:rPr>
          <w:rFonts w:ascii="Arial" w:eastAsia="Arial" w:hAnsi="Arial" w:cs="Arial"/>
          <w:b/>
          <w:sz w:val="18"/>
          <w:shd w:val="clear" w:color="auto" w:fill="FFFFFF"/>
        </w:rPr>
      </w:pPr>
    </w:p>
    <w:tbl>
      <w:tblPr>
        <w:tblStyle w:val="TableGrid"/>
        <w:tblW w:w="9350" w:type="dxa"/>
        <w:tbl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insideH w:val="single" w:sz="2" w:space="0" w:color="548DD4" w:themeColor="text2" w:themeTint="99"/>
          <w:insideV w:val="single" w:sz="2" w:space="0" w:color="548DD4" w:themeColor="text2" w:themeTint="99"/>
        </w:tblBorders>
        <w:shd w:val="clear" w:color="auto" w:fill="FFFFFF" w:themeFill="background1"/>
        <w:tblLook w:val="04A0" w:firstRow="1" w:lastRow="0" w:firstColumn="1" w:lastColumn="0" w:noHBand="0" w:noVBand="1"/>
      </w:tblPr>
      <w:tblGrid>
        <w:gridCol w:w="3116"/>
        <w:gridCol w:w="3117"/>
        <w:gridCol w:w="3117"/>
      </w:tblGrid>
      <w:tr w:rsidR="001E3511" w:rsidRPr="007D4280" w14:paraId="09E2CB03" w14:textId="77777777" w:rsidTr="00BD7E95">
        <w:trPr>
          <w:trHeight w:val="20"/>
        </w:trPr>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958C89" w14:textId="77777777" w:rsidR="00D23E51" w:rsidRPr="007D4280" w:rsidRDefault="00152032" w:rsidP="00D4515B">
            <w:pPr>
              <w:keepNext/>
              <w:spacing w:line="300" w:lineRule="auto"/>
              <w:rPr>
                <w:rFonts w:ascii="Arial" w:eastAsia="Arial" w:hAnsi="Arial" w:cs="Arial"/>
                <w:b/>
                <w:bCs/>
                <w:sz w:val="16"/>
                <w:szCs w:val="16"/>
                <w:shd w:val="clear" w:color="auto" w:fill="FFFFFF"/>
              </w:rPr>
            </w:pPr>
            <w:r w:rsidRPr="007D4280">
              <w:rPr>
                <w:rFonts w:ascii="Arial" w:hAnsi="Arial"/>
                <w:b/>
                <w:sz w:val="16"/>
              </w:rPr>
              <w:t>Description</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3D1BE4" w14:textId="77777777" w:rsidR="00D23E51" w:rsidRPr="007D4280" w:rsidRDefault="00152032" w:rsidP="00D4515B">
            <w:pPr>
              <w:tabs>
                <w:tab w:val="left" w:pos="9360"/>
              </w:tabs>
              <w:spacing w:line="300" w:lineRule="auto"/>
              <w:jc w:val="center"/>
              <w:rPr>
                <w:rFonts w:ascii="Arial" w:hAnsi="Arial" w:cs="Arial"/>
                <w:b/>
                <w:bCs/>
                <w:sz w:val="16"/>
                <w:szCs w:val="16"/>
              </w:rPr>
            </w:pPr>
            <w:r w:rsidRPr="007D4280">
              <w:rPr>
                <w:rFonts w:ascii="Arial" w:hAnsi="Arial"/>
                <w:b/>
                <w:sz w:val="16"/>
              </w:rPr>
              <w:t>2025</w:t>
            </w:r>
          </w:p>
          <w:p w14:paraId="4863D58A" w14:textId="77777777" w:rsidR="00D23E51" w:rsidRPr="007D4280" w:rsidRDefault="00152032" w:rsidP="00D4515B">
            <w:pPr>
              <w:tabs>
                <w:tab w:val="left" w:pos="9360"/>
              </w:tabs>
              <w:spacing w:line="300" w:lineRule="auto"/>
              <w:jc w:val="center"/>
              <w:rPr>
                <w:rFonts w:ascii="Arial" w:hAnsi="Arial" w:cs="Arial"/>
                <w:b/>
                <w:bCs/>
                <w:sz w:val="16"/>
                <w:szCs w:val="16"/>
              </w:rPr>
            </w:pPr>
            <w:r w:rsidRPr="007D4280">
              <w:rPr>
                <w:rFonts w:ascii="Arial" w:hAnsi="Arial"/>
                <w:b/>
                <w:sz w:val="16"/>
              </w:rPr>
              <w:t>($)</w:t>
            </w:r>
          </w:p>
        </w:tc>
        <w:tc>
          <w:tcPr>
            <w:tcW w:w="3117" w:type="dxa"/>
            <w:tcBorders>
              <w:top w:val="single" w:sz="2" w:space="0" w:color="auto"/>
              <w:bottom w:val="single" w:sz="2" w:space="0" w:color="auto"/>
              <w:right w:val="single" w:sz="2" w:space="0" w:color="auto"/>
            </w:tcBorders>
          </w:tcPr>
          <w:p w14:paraId="3903F58F" w14:textId="77777777" w:rsidR="00D23E51" w:rsidRPr="007D4280" w:rsidRDefault="00152032" w:rsidP="00D4515B">
            <w:pPr>
              <w:tabs>
                <w:tab w:val="left" w:pos="9360"/>
              </w:tabs>
              <w:spacing w:line="300" w:lineRule="auto"/>
              <w:jc w:val="center"/>
              <w:rPr>
                <w:rFonts w:ascii="Arial" w:hAnsi="Arial" w:cs="Arial"/>
                <w:b/>
                <w:bCs/>
                <w:sz w:val="16"/>
                <w:szCs w:val="16"/>
              </w:rPr>
            </w:pPr>
            <w:r w:rsidRPr="007D4280">
              <w:rPr>
                <w:rFonts w:ascii="Arial" w:hAnsi="Arial"/>
                <w:b/>
                <w:sz w:val="16"/>
              </w:rPr>
              <w:t>2024</w:t>
            </w:r>
          </w:p>
          <w:p w14:paraId="67F05466" w14:textId="77777777" w:rsidR="00D23E51" w:rsidRPr="007D4280" w:rsidRDefault="00152032" w:rsidP="00BD7E95">
            <w:pPr>
              <w:tabs>
                <w:tab w:val="left" w:pos="9360"/>
              </w:tabs>
              <w:spacing w:line="300" w:lineRule="auto"/>
              <w:jc w:val="center"/>
              <w:rPr>
                <w:rFonts w:ascii="Arial" w:hAnsi="Arial"/>
                <w:b/>
                <w:sz w:val="16"/>
              </w:rPr>
            </w:pPr>
            <w:r w:rsidRPr="007D4280">
              <w:rPr>
                <w:rFonts w:ascii="Arial" w:hAnsi="Arial"/>
                <w:b/>
                <w:sz w:val="16"/>
              </w:rPr>
              <w:t>($)</w:t>
            </w:r>
          </w:p>
        </w:tc>
      </w:tr>
      <w:tr w:rsidR="001E3511" w:rsidRPr="007D4280" w14:paraId="257A3283" w14:textId="77777777" w:rsidTr="00BD7E95">
        <w:trPr>
          <w:trHeight w:val="20"/>
        </w:trPr>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92F287" w14:textId="77777777" w:rsidR="00D23E51" w:rsidRPr="007D4280" w:rsidRDefault="00152032" w:rsidP="00D4515B">
            <w:pPr>
              <w:keepNext/>
              <w:tabs>
                <w:tab w:val="left" w:pos="9360"/>
              </w:tabs>
              <w:spacing w:before="33" w:line="300" w:lineRule="auto"/>
              <w:ind w:left="40"/>
              <w:rPr>
                <w:rFonts w:ascii="Arial" w:eastAsia="Arial" w:hAnsi="Arial" w:cs="Arial"/>
                <w:sz w:val="16"/>
                <w:szCs w:val="16"/>
                <w:shd w:val="clear" w:color="auto" w:fill="FFFFFF"/>
              </w:rPr>
            </w:pPr>
            <w:r w:rsidRPr="007D4280">
              <w:rPr>
                <w:rFonts w:ascii="Arial" w:hAnsi="Arial"/>
                <w:sz w:val="16"/>
                <w:shd w:val="clear" w:color="auto" w:fill="FFFFFF"/>
              </w:rPr>
              <w:t>Honoraires d’audit</w:t>
            </w:r>
            <w:r w:rsidRPr="007D4280">
              <w:rPr>
                <w:rFonts w:ascii="Arial" w:hAnsi="Arial"/>
                <w:sz w:val="16"/>
                <w:shd w:val="clear" w:color="auto" w:fill="FFFFFF"/>
                <w:vertAlign w:val="superscript"/>
              </w:rPr>
              <w:t>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6F06FA" w14:textId="1B9A38FF"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2 563 744 $</w:t>
            </w:r>
          </w:p>
        </w:tc>
        <w:tc>
          <w:tcPr>
            <w:tcW w:w="3117" w:type="dxa"/>
            <w:tcBorders>
              <w:top w:val="single" w:sz="2" w:space="0" w:color="auto"/>
              <w:bottom w:val="single" w:sz="2" w:space="0" w:color="auto"/>
              <w:right w:val="single" w:sz="2" w:space="0" w:color="auto"/>
            </w:tcBorders>
          </w:tcPr>
          <w:p w14:paraId="1A6B67CF" w14:textId="06894783"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4 210 943 $</w:t>
            </w:r>
          </w:p>
        </w:tc>
      </w:tr>
      <w:tr w:rsidR="001E3511" w:rsidRPr="007D4280" w14:paraId="01EC9D00" w14:textId="77777777" w:rsidTr="00BD7E95">
        <w:trPr>
          <w:trHeight w:val="20"/>
        </w:trPr>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09BE9" w14:textId="77777777" w:rsidR="00D23E51" w:rsidRPr="007D4280" w:rsidRDefault="00152032" w:rsidP="00D4515B">
            <w:pPr>
              <w:tabs>
                <w:tab w:val="left" w:pos="9360"/>
              </w:tabs>
              <w:spacing w:before="88" w:line="300" w:lineRule="auto"/>
              <w:ind w:left="40"/>
              <w:rPr>
                <w:rFonts w:ascii="Arial" w:eastAsia="Arial" w:hAnsi="Arial" w:cs="Arial"/>
                <w:sz w:val="16"/>
                <w:szCs w:val="16"/>
                <w:shd w:val="clear" w:color="auto" w:fill="FFFFFF"/>
              </w:rPr>
            </w:pPr>
            <w:r w:rsidRPr="007D4280">
              <w:rPr>
                <w:rFonts w:ascii="Arial" w:hAnsi="Arial"/>
                <w:sz w:val="16"/>
                <w:shd w:val="clear" w:color="auto" w:fill="FFFFFF"/>
              </w:rPr>
              <w:t>Honoraires pour services liés à l’audit</w:t>
            </w:r>
            <w:r w:rsidRPr="007D4280">
              <w:rPr>
                <w:rFonts w:ascii="Arial" w:hAnsi="Arial"/>
                <w:sz w:val="16"/>
                <w:shd w:val="clear" w:color="auto" w:fill="FFFFFF"/>
                <w:vertAlign w:val="superscript"/>
              </w:rPr>
              <w:t>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9A2F0F" w14:textId="5B891AE5"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280 825 $</w:t>
            </w:r>
          </w:p>
        </w:tc>
        <w:tc>
          <w:tcPr>
            <w:tcW w:w="3117" w:type="dxa"/>
            <w:tcBorders>
              <w:top w:val="single" w:sz="2" w:space="0" w:color="auto"/>
              <w:bottom w:val="single" w:sz="2" w:space="0" w:color="auto"/>
              <w:right w:val="single" w:sz="2" w:space="0" w:color="auto"/>
            </w:tcBorders>
          </w:tcPr>
          <w:p w14:paraId="0E0C1E21" w14:textId="35D9A6C6"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274 488 $</w:t>
            </w:r>
          </w:p>
        </w:tc>
      </w:tr>
      <w:tr w:rsidR="001E3511" w:rsidRPr="007D4280" w14:paraId="4366607E" w14:textId="77777777" w:rsidTr="00BD7E95">
        <w:trPr>
          <w:trHeight w:val="20"/>
        </w:trPr>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4FC7A3" w14:textId="77777777" w:rsidR="00D23E51" w:rsidRPr="007D4280" w:rsidRDefault="00152032" w:rsidP="00D4515B">
            <w:pPr>
              <w:tabs>
                <w:tab w:val="left" w:pos="9360"/>
              </w:tabs>
              <w:spacing w:before="88" w:line="300" w:lineRule="auto"/>
              <w:ind w:left="40"/>
              <w:rPr>
                <w:rFonts w:ascii="Arial" w:eastAsia="Arial" w:hAnsi="Arial" w:cs="Arial"/>
                <w:sz w:val="16"/>
                <w:szCs w:val="16"/>
                <w:shd w:val="clear" w:color="auto" w:fill="FFFFFF"/>
              </w:rPr>
            </w:pPr>
            <w:r w:rsidRPr="007D4280">
              <w:rPr>
                <w:rFonts w:ascii="Arial" w:hAnsi="Arial"/>
                <w:sz w:val="16"/>
                <w:shd w:val="clear" w:color="auto" w:fill="FFFFFF"/>
              </w:rPr>
              <w:t>Honoraires pour services fiscaux</w:t>
            </w:r>
            <w:r w:rsidRPr="007D4280">
              <w:rPr>
                <w:rFonts w:ascii="Arial" w:hAnsi="Arial"/>
                <w:sz w:val="16"/>
                <w:shd w:val="clear" w:color="auto" w:fill="FFFFFF"/>
                <w:vertAlign w:val="superscript"/>
              </w:rPr>
              <w:t>3)</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AAB2BA" w14:textId="79DFBCC3"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121 707 $</w:t>
            </w:r>
          </w:p>
        </w:tc>
        <w:tc>
          <w:tcPr>
            <w:tcW w:w="3117" w:type="dxa"/>
            <w:tcBorders>
              <w:top w:val="single" w:sz="2" w:space="0" w:color="auto"/>
              <w:bottom w:val="single" w:sz="2" w:space="0" w:color="auto"/>
              <w:right w:val="single" w:sz="2" w:space="0" w:color="auto"/>
            </w:tcBorders>
          </w:tcPr>
          <w:p w14:paraId="37975360" w14:textId="175985F2"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70 099 $</w:t>
            </w:r>
          </w:p>
        </w:tc>
      </w:tr>
      <w:tr w:rsidR="001E3511" w:rsidRPr="007D4280" w14:paraId="36662B3C" w14:textId="77777777" w:rsidTr="00BD7E95">
        <w:trPr>
          <w:trHeight w:val="20"/>
        </w:trPr>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909AB7" w14:textId="77777777" w:rsidR="00D23E51" w:rsidRPr="007D4280" w:rsidRDefault="00152032" w:rsidP="00D4515B">
            <w:pPr>
              <w:tabs>
                <w:tab w:val="left" w:pos="9360"/>
              </w:tabs>
              <w:spacing w:before="88" w:line="300" w:lineRule="auto"/>
              <w:ind w:left="40"/>
              <w:rPr>
                <w:rFonts w:ascii="Arial" w:eastAsia="Arial" w:hAnsi="Arial" w:cs="Arial"/>
                <w:sz w:val="16"/>
                <w:szCs w:val="16"/>
                <w:shd w:val="clear" w:color="auto" w:fill="FFFFFF"/>
              </w:rPr>
            </w:pPr>
            <w:r w:rsidRPr="007D4280">
              <w:rPr>
                <w:rFonts w:ascii="Arial" w:hAnsi="Arial"/>
                <w:sz w:val="16"/>
                <w:shd w:val="clear" w:color="auto" w:fill="FFFFFF"/>
              </w:rPr>
              <w:t>Autres honoraires</w:t>
            </w:r>
            <w:r w:rsidRPr="007D4280">
              <w:rPr>
                <w:rFonts w:ascii="Arial" w:hAnsi="Arial"/>
                <w:sz w:val="16"/>
                <w:shd w:val="clear" w:color="auto" w:fill="FFFFFF"/>
                <w:vertAlign w:val="superscript"/>
              </w:rPr>
              <w:t>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8C2942" w14:textId="60744730"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1 319 775 $</w:t>
            </w:r>
          </w:p>
        </w:tc>
        <w:tc>
          <w:tcPr>
            <w:tcW w:w="3117" w:type="dxa"/>
            <w:tcBorders>
              <w:top w:val="single" w:sz="2" w:space="0" w:color="auto"/>
              <w:bottom w:val="single" w:sz="2" w:space="0" w:color="auto"/>
              <w:right w:val="single" w:sz="2" w:space="0" w:color="auto"/>
            </w:tcBorders>
          </w:tcPr>
          <w:p w14:paraId="5B17AD74" w14:textId="67DBF811"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2 605 472 $</w:t>
            </w:r>
          </w:p>
        </w:tc>
      </w:tr>
      <w:tr w:rsidR="001E3511" w:rsidRPr="007D4280" w14:paraId="71964934" w14:textId="77777777" w:rsidTr="00BD7E95">
        <w:trPr>
          <w:trHeight w:val="377"/>
        </w:trPr>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956C73" w14:textId="77777777" w:rsidR="00D23E51" w:rsidRPr="007D4280" w:rsidRDefault="00152032" w:rsidP="00D4515B">
            <w:pPr>
              <w:tabs>
                <w:tab w:val="left" w:pos="9360"/>
              </w:tabs>
              <w:spacing w:before="88" w:line="300" w:lineRule="auto"/>
              <w:rPr>
                <w:rFonts w:ascii="Arial" w:eastAsia="Arial" w:hAnsi="Arial" w:cs="Arial"/>
                <w:b/>
                <w:bCs/>
                <w:sz w:val="16"/>
                <w:szCs w:val="16"/>
                <w:shd w:val="clear" w:color="auto" w:fill="FFFFFF"/>
              </w:rPr>
            </w:pPr>
            <w:r w:rsidRPr="007D4280">
              <w:rPr>
                <w:rFonts w:ascii="Arial" w:hAnsi="Arial"/>
                <w:b/>
                <w:sz w:val="16"/>
                <w:shd w:val="clear" w:color="auto" w:fill="FFFFFF"/>
              </w:rPr>
              <w:t>TOTAL DES HONORAIRES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6E2E79" w14:textId="7CC89923"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4 286 051 $</w:t>
            </w:r>
          </w:p>
        </w:tc>
        <w:tc>
          <w:tcPr>
            <w:tcW w:w="3117" w:type="dxa"/>
            <w:tcBorders>
              <w:top w:val="single" w:sz="2" w:space="0" w:color="auto"/>
              <w:bottom w:val="single" w:sz="2" w:space="0" w:color="auto"/>
              <w:right w:val="single" w:sz="2" w:space="0" w:color="auto"/>
            </w:tcBorders>
          </w:tcPr>
          <w:p w14:paraId="08F9C8BA" w14:textId="36A7C24F" w:rsidR="00D23E51" w:rsidRPr="007D4280" w:rsidRDefault="00152032" w:rsidP="00D4515B">
            <w:pPr>
              <w:tabs>
                <w:tab w:val="left" w:pos="9360"/>
              </w:tabs>
              <w:spacing w:after="2" w:line="300" w:lineRule="auto"/>
              <w:ind w:right="1060"/>
              <w:jc w:val="right"/>
              <w:rPr>
                <w:rFonts w:ascii="Arial" w:eastAsia="Arial" w:hAnsi="Arial" w:cs="Arial"/>
                <w:sz w:val="16"/>
                <w:szCs w:val="16"/>
                <w:shd w:val="clear" w:color="auto" w:fill="FFFFFF"/>
              </w:rPr>
            </w:pPr>
            <w:r w:rsidRPr="007D4280">
              <w:rPr>
                <w:rFonts w:ascii="Arial" w:hAnsi="Arial"/>
                <w:sz w:val="16"/>
                <w:shd w:val="clear" w:color="auto" w:fill="FFFFFF"/>
              </w:rPr>
              <w:t>7 161 001 $</w:t>
            </w:r>
          </w:p>
        </w:tc>
      </w:tr>
    </w:tbl>
    <w:p w14:paraId="2D835497" w14:textId="77777777" w:rsidR="00D23E51" w:rsidRPr="007D4280" w:rsidRDefault="00152032" w:rsidP="00D23E51">
      <w:pPr>
        <w:spacing w:before="120" w:line="300" w:lineRule="auto"/>
        <w:ind w:left="720"/>
        <w:rPr>
          <w:rFonts w:ascii="Arial" w:eastAsia="Arial" w:hAnsi="Arial" w:cs="Arial"/>
          <w:sz w:val="16"/>
          <w:szCs w:val="16"/>
          <w:shd w:val="clear" w:color="auto" w:fill="FFFFFF"/>
        </w:rPr>
      </w:pPr>
      <w:r w:rsidRPr="007D4280">
        <w:rPr>
          <w:rFonts w:ascii="Arial" w:hAnsi="Arial"/>
          <w:b/>
          <w:sz w:val="16"/>
          <w:shd w:val="clear" w:color="auto" w:fill="FFFFFF"/>
        </w:rPr>
        <w:t>Remarques :</w:t>
      </w:r>
    </w:p>
    <w:p w14:paraId="2250F2B5" w14:textId="5CD62E6F" w:rsidR="00D23E51" w:rsidRPr="007D4280" w:rsidRDefault="00152032" w:rsidP="00D23E51">
      <w:pPr>
        <w:tabs>
          <w:tab w:val="left" w:pos="1080"/>
        </w:tabs>
        <w:spacing w:line="300" w:lineRule="auto"/>
        <w:ind w:left="1080" w:hanging="360"/>
        <w:rPr>
          <w:rFonts w:ascii="Arial" w:eastAsia="Arial" w:hAnsi="Arial" w:cs="Arial"/>
          <w:sz w:val="16"/>
          <w:szCs w:val="16"/>
          <w:shd w:val="clear" w:color="auto" w:fill="FFFFFF"/>
        </w:rPr>
      </w:pPr>
      <w:bookmarkStart w:id="72" w:name="_Hlk63867710"/>
      <w:r w:rsidRPr="007D4280">
        <w:rPr>
          <w:rFonts w:ascii="Arial" w:hAnsi="Arial"/>
          <w:sz w:val="16"/>
          <w:shd w:val="clear" w:color="auto" w:fill="FFFFFF"/>
        </w:rPr>
        <w:t>(1)</w:t>
      </w:r>
      <w:r w:rsidRPr="007D4280">
        <w:rPr>
          <w:rFonts w:ascii="Arial" w:hAnsi="Arial"/>
          <w:sz w:val="16"/>
          <w:shd w:val="clear" w:color="auto" w:fill="FFFFFF"/>
        </w:rPr>
        <w:tab/>
        <w:t>Audit des états financiers annuels et revue des états financiers trimestriels des Aliments Maple Leaf ainsi que des états financiers du placement en bourse de la filiale Canada Packers dans le cadre du projet de séparation des activités porcines de la Société.</w:t>
      </w:r>
    </w:p>
    <w:p w14:paraId="167BD908" w14:textId="77777777" w:rsidR="00D23E51" w:rsidRPr="007D4280" w:rsidRDefault="00152032" w:rsidP="00D23E51">
      <w:pPr>
        <w:tabs>
          <w:tab w:val="left" w:pos="1080"/>
        </w:tabs>
        <w:spacing w:line="300" w:lineRule="auto"/>
        <w:ind w:left="1080" w:hanging="360"/>
        <w:rPr>
          <w:rFonts w:ascii="Arial" w:eastAsia="Arial" w:hAnsi="Arial" w:cs="Arial"/>
          <w:sz w:val="16"/>
          <w:szCs w:val="16"/>
          <w:shd w:val="clear" w:color="auto" w:fill="FFFFFF"/>
        </w:rPr>
      </w:pPr>
      <w:r w:rsidRPr="007D4280">
        <w:rPr>
          <w:rFonts w:ascii="Arial" w:hAnsi="Arial"/>
          <w:sz w:val="16"/>
          <w:shd w:val="clear" w:color="auto" w:fill="FFFFFF"/>
        </w:rPr>
        <w:t>2)</w:t>
      </w:r>
      <w:r w:rsidRPr="007D4280">
        <w:rPr>
          <w:rFonts w:ascii="Arial" w:hAnsi="Arial"/>
          <w:sz w:val="16"/>
          <w:shd w:val="clear" w:color="auto" w:fill="FFFFFF"/>
        </w:rPr>
        <w:tab/>
        <w:t>Services liés à l’audit composés principalement de procédures d’audit à des fins de conformité et des activités de la Société, y compris l’audit des états financiers du régime de retraite, les audits requis à des fins réglementaires, les services de traduction, les services-conseils en comptabilité et la vérification diligente de l’information financière.</w:t>
      </w:r>
    </w:p>
    <w:p w14:paraId="2841C221" w14:textId="77777777" w:rsidR="00D23E51" w:rsidRPr="007D4280" w:rsidRDefault="00152032" w:rsidP="00D23E51">
      <w:pPr>
        <w:tabs>
          <w:tab w:val="left" w:pos="1080"/>
        </w:tabs>
        <w:spacing w:line="300" w:lineRule="auto"/>
        <w:ind w:left="720"/>
        <w:rPr>
          <w:rFonts w:ascii="Arial" w:eastAsia="Arial" w:hAnsi="Arial" w:cs="Arial"/>
          <w:sz w:val="16"/>
          <w:szCs w:val="16"/>
          <w:shd w:val="clear" w:color="auto" w:fill="FFFFFF"/>
        </w:rPr>
      </w:pPr>
      <w:r w:rsidRPr="007D4280">
        <w:rPr>
          <w:rFonts w:ascii="Arial" w:hAnsi="Arial"/>
          <w:sz w:val="16"/>
          <w:shd w:val="clear" w:color="auto" w:fill="FFFFFF"/>
        </w:rPr>
        <w:t>3)</w:t>
      </w:r>
      <w:r w:rsidRPr="007D4280">
        <w:rPr>
          <w:rFonts w:ascii="Arial" w:hAnsi="Arial"/>
          <w:sz w:val="16"/>
          <w:shd w:val="clear" w:color="auto" w:fill="FFFFFF"/>
        </w:rPr>
        <w:tab/>
        <w:t>Services-conseils fiscaux et d’observation des règles fiscales canadiennes et internationales, et services de fixation des prix de cession interne.</w:t>
      </w:r>
    </w:p>
    <w:p w14:paraId="7DC124A1" w14:textId="77777777" w:rsidR="00D23E51" w:rsidRPr="007D4280" w:rsidRDefault="00152032" w:rsidP="00D23E51">
      <w:pPr>
        <w:tabs>
          <w:tab w:val="left" w:pos="1080"/>
        </w:tabs>
        <w:spacing w:after="120" w:line="300" w:lineRule="auto"/>
        <w:ind w:left="720"/>
        <w:rPr>
          <w:rFonts w:ascii="Arial" w:eastAsia="Arial" w:hAnsi="Arial" w:cs="Arial"/>
          <w:sz w:val="16"/>
          <w:szCs w:val="16"/>
          <w:shd w:val="clear" w:color="auto" w:fill="FFFFFF"/>
        </w:rPr>
      </w:pPr>
      <w:r w:rsidRPr="007D4280">
        <w:rPr>
          <w:rFonts w:ascii="Arial" w:hAnsi="Arial"/>
          <w:sz w:val="16"/>
          <w:shd w:val="clear" w:color="auto" w:fill="FFFFFF"/>
        </w:rPr>
        <w:t>4)</w:t>
      </w:r>
      <w:r w:rsidRPr="007D4280">
        <w:rPr>
          <w:rFonts w:ascii="Arial" w:hAnsi="Arial"/>
          <w:sz w:val="16"/>
          <w:shd w:val="clear" w:color="auto" w:fill="FFFFFF"/>
        </w:rPr>
        <w:tab/>
        <w:t>Principalement, services d’audit des émissions de GES et services-conseils en matière de séparation et de transition.</w:t>
      </w:r>
      <w:bookmarkEnd w:id="72"/>
    </w:p>
    <w:p w14:paraId="62737653" w14:textId="7B8AD51F" w:rsidR="00695197" w:rsidRPr="007D4280" w:rsidRDefault="00152032" w:rsidP="00E72EC2">
      <w:pPr>
        <w:pStyle w:val="AIF-Level1"/>
        <w:outlineLvl w:val="0"/>
      </w:pPr>
      <w:bookmarkStart w:id="73" w:name="_Toc226985996"/>
      <w:bookmarkEnd w:id="67"/>
      <w:bookmarkEnd w:id="68"/>
      <w:bookmarkEnd w:id="69"/>
      <w:r w:rsidRPr="007D4280">
        <w:t>POURSUITES ET APPLICATION DE LA LOI</w:t>
      </w:r>
      <w:bookmarkEnd w:id="73"/>
    </w:p>
    <w:p w14:paraId="76917BEC" w14:textId="7C7393E3" w:rsidR="00824346" w:rsidRPr="007D4280" w:rsidRDefault="00152032" w:rsidP="00824346">
      <w:pPr>
        <w:spacing w:after="120" w:line="300" w:lineRule="auto"/>
        <w:rPr>
          <w:rFonts w:ascii="Arial" w:eastAsia="Arial" w:hAnsi="Arial"/>
          <w:b/>
          <w:sz w:val="18"/>
        </w:rPr>
      </w:pPr>
      <w:r w:rsidRPr="007D4280">
        <w:rPr>
          <w:rFonts w:ascii="Arial" w:hAnsi="Arial"/>
          <w:sz w:val="18"/>
        </w:rPr>
        <w:t xml:space="preserve">Dans le cours normal de ses activités, la Société est partie à certaines actions en justice. Parmi les affaires de nature juridique concernant la Société figure une enquête que mène le Bureau de la concurrence sur l’industrie canadienne du pain emballé, y compris des allégations de fixation des prix et les questions de divulgation des valeurs mobilières qui en découlent. L’enquête couvre un horizon temporel qui comprend l’époque à laquelle la Société était actionnaire majoritaire de la Boulangerie Canada Bread, Limité (« Canada Bread »). En 2014, la Société a vendu à Grupo Bimbo sa participation dans Canada Bread, une société publique autonome. De plus, il existe des recours collectifs liés aux allégations de fixation des prix. La Cour supérieure de justice de l’Ontario a déterminé à deux reprises que le recours collectif sur le pain contre les Aliments Maple Leaf ne devrait pas être autorisé, et cette décision a été confirmée par la Cour d’appel. Les plaignants demandent l’autorisation de former un pourvoi devant la Cour suprême du Canada contre la dernière décision de la Cour d’appel de l’Ontario. En 2024, la Société a déposé une plainte en diffamation contre Grupo Bimbo et Canada Bread en raison de déclarations publiques à l’endroit des Aliments Maple Leaf dans cette affaire. Grupo Bimbo et Canada Bread ont également déposé leurs plaintes séparément contre la Société. Cette dernière a toujours maintenu qu’elle n’avait rien à se reprocher concernant l’époque où elle était actionnaire de Canada Bread. La Société organise une défense énergique dans toutes ces affaires. À la fin de 2023, les demandeurs dans le recours collectif sur la fixation des prix du pain au Québec ont déposé une demande d’autorisation pour un recours collectif distinct alléguant la fixation du prix de la viande au Québec, laquelle demande a été rejetée à la fin de 2025. Il est impossible de prévoir avec certitude ou précision les conclusions de l’enquête ou les résultats des recours collectifs, des poursuites de Grupo Bimbo ou de toute autre action future. </w:t>
      </w:r>
    </w:p>
    <w:p w14:paraId="3CBB9EA5" w14:textId="7A12E996" w:rsidR="0060189A" w:rsidRPr="007D4280" w:rsidRDefault="00152032" w:rsidP="00235CA4">
      <w:pPr>
        <w:spacing w:after="120" w:line="300" w:lineRule="auto"/>
        <w:rPr>
          <w:rFonts w:ascii="Arial" w:eastAsia="Arial" w:hAnsi="Arial" w:cs="Arial"/>
          <w:sz w:val="18"/>
        </w:rPr>
      </w:pPr>
      <w:proofErr w:type="spellStart"/>
      <w:r w:rsidRPr="007D4280">
        <w:rPr>
          <w:rFonts w:ascii="Arial" w:hAnsi="Arial"/>
          <w:sz w:val="18"/>
        </w:rPr>
        <w:t>Veuillez vous</w:t>
      </w:r>
      <w:proofErr w:type="spellEnd"/>
      <w:r w:rsidRPr="007D4280">
        <w:rPr>
          <w:rFonts w:ascii="Arial" w:hAnsi="Arial"/>
          <w:sz w:val="18"/>
        </w:rPr>
        <w:t xml:space="preserve"> reporter à la rubrique « Facteurs de risque » du rapport de gestion annuel de 2025 de la Société. La Société ne fait l’objet (et ne faisait l’objet au cours de l</w:t>
      </w:r>
      <w:r w:rsidR="00196B2B">
        <w:rPr>
          <w:rFonts w:ascii="Arial" w:hAnsi="Arial"/>
          <w:sz w:val="18"/>
        </w:rPr>
        <w:t>’</w:t>
      </w:r>
      <w:r w:rsidRPr="007D4280">
        <w:rPr>
          <w:rFonts w:ascii="Arial" w:hAnsi="Arial"/>
          <w:sz w:val="18"/>
        </w:rPr>
        <w:t xml:space="preserve">exercice 2025) d’aucune autre poursuite ou action en justice importante que celles indiquées aux présentes ou dans le rapport de gestion de 2025, accessible sur SEDAR+ au </w:t>
      </w:r>
      <w:hyperlink r:id="rId24" w:history="1">
        <w:r w:rsidRPr="007D4280">
          <w:rPr>
            <w:rStyle w:val="Hyperlink"/>
            <w:rFonts w:ascii="Arial" w:hAnsi="Arial"/>
            <w:sz w:val="18"/>
          </w:rPr>
          <w:t>www.sedarplus.ca</w:t>
        </w:r>
      </w:hyperlink>
      <w:r w:rsidRPr="007D4280">
        <w:rPr>
          <w:rFonts w:ascii="Arial" w:hAnsi="Arial"/>
          <w:sz w:val="18"/>
        </w:rPr>
        <w:t>.</w:t>
      </w:r>
    </w:p>
    <w:p w14:paraId="4CFD5EE8" w14:textId="77777777" w:rsidR="00695197" w:rsidRPr="007D4280" w:rsidRDefault="00152032" w:rsidP="00E72EC2">
      <w:pPr>
        <w:pStyle w:val="AIF-Level1"/>
        <w:outlineLvl w:val="0"/>
      </w:pPr>
      <w:bookmarkStart w:id="74" w:name="_Toc226985997"/>
      <w:r w:rsidRPr="007D4280">
        <w:t>CONFLITS D’INTÉRÊTS</w:t>
      </w:r>
      <w:bookmarkEnd w:id="74"/>
    </w:p>
    <w:p w14:paraId="2BE86657" w14:textId="66D10973" w:rsidR="00A56E89" w:rsidRPr="007D4280" w:rsidRDefault="00A56E89" w:rsidP="00A56E89">
      <w:pPr>
        <w:spacing w:after="120" w:line="300" w:lineRule="auto"/>
        <w:rPr>
          <w:rFonts w:ascii="Arial" w:eastAsia="Arial" w:hAnsi="Arial" w:cs="Arial"/>
          <w:sz w:val="18"/>
          <w:szCs w:val="18"/>
        </w:rPr>
      </w:pPr>
      <w:r w:rsidRPr="007D4280">
        <w:rPr>
          <w:rFonts w:ascii="Arial" w:hAnsi="Arial"/>
          <w:sz w:val="18"/>
        </w:rPr>
        <w:t xml:space="preserve">Il est possible que se produisent, de temps à autre, des circonstances susceptibles de placer un membre du conseil d’administration en situation de conflit d’intérêts réel ou potentiel. La LCSA stipule que dans le cas où un administrateur ou un dirigeant est partie à un contrat important ou à une opération importante, ou à un projet de contrat important ou d’opération importante, ou s’il est l’administrateur ou le dirigeant d’une entité qui y est partie ou possède un intérêt important dans cette entité, cet administrateur ou ce dirigeant doit divulguer la nature et l’étendue de son intérêt et doit s’abstenir de voter sur l’approbation de ce contrat ou de cette opération, sauf disposition contraire de la LCSA. Les Aliments Maple Leaf a adopté une politique et des procédures en matière de conflits d’intérêts pour s’assurer que tous les conflits d’intérêts réels et potentiels sont déclarés et que des mesures appropriées sont prises pour gérer chaque cas avec diligence et transparence. </w:t>
      </w:r>
    </w:p>
    <w:p w14:paraId="52774DFC" w14:textId="7B8B2207" w:rsidR="000D7CE0" w:rsidRPr="007D4280" w:rsidRDefault="00A56E89" w:rsidP="00A56E89">
      <w:pPr>
        <w:spacing w:after="120" w:line="300" w:lineRule="auto"/>
        <w:rPr>
          <w:rFonts w:ascii="Arial" w:eastAsia="Arial" w:hAnsi="Arial" w:cs="Arial"/>
          <w:sz w:val="18"/>
          <w:szCs w:val="18"/>
        </w:rPr>
      </w:pPr>
      <w:r w:rsidRPr="007D4280">
        <w:rPr>
          <w:rFonts w:ascii="Arial" w:hAnsi="Arial"/>
          <w:sz w:val="18"/>
        </w:rPr>
        <w:t xml:space="preserve">À la connaissance de la Société, aucun de ses administrateurs ou membres de la haute direction n’a de conflit d’intérêts réel ou potentiel important avec les Aliments Maple Leaf ou une de ses filiales, autres que ceux indiqués dans la présente notice annuelle ou dans le rapport de gestion de 2025, accessible sur SEDAR+ au </w:t>
      </w:r>
      <w:hyperlink r:id="rId25" w:history="1">
        <w:r w:rsidRPr="007D4280">
          <w:rPr>
            <w:rStyle w:val="Hyperlink"/>
            <w:rFonts w:ascii="Arial" w:hAnsi="Arial"/>
            <w:sz w:val="18"/>
          </w:rPr>
          <w:t>www.sedarplus.ca</w:t>
        </w:r>
      </w:hyperlink>
      <w:r w:rsidRPr="007D4280">
        <w:rPr>
          <w:rFonts w:ascii="Arial" w:hAnsi="Arial"/>
          <w:sz w:val="18"/>
        </w:rPr>
        <w:t>.</w:t>
      </w:r>
    </w:p>
    <w:p w14:paraId="5A291EB9" w14:textId="77777777" w:rsidR="00695197" w:rsidRPr="007D4280" w:rsidRDefault="00152032" w:rsidP="00E72EC2">
      <w:pPr>
        <w:pStyle w:val="AIF-Level1"/>
        <w:outlineLvl w:val="0"/>
      </w:pPr>
      <w:bookmarkStart w:id="75" w:name="_Toc226985998"/>
      <w:r w:rsidRPr="007D4280">
        <w:t>MEMBRES DE LA DIRECTION ET AUTRES PERSONNES INTÉRESSÉS DANS DES OPÉRATIONS IMPORTANTES</w:t>
      </w:r>
      <w:bookmarkEnd w:id="75"/>
    </w:p>
    <w:p w14:paraId="0BD9A35F" w14:textId="09C098B2" w:rsidR="0060189A" w:rsidRPr="007D4280" w:rsidRDefault="00A56E89" w:rsidP="00E72EC2">
      <w:pPr>
        <w:spacing w:after="120" w:line="300" w:lineRule="auto"/>
        <w:rPr>
          <w:rFonts w:ascii="Arial" w:eastAsia="Arial" w:hAnsi="Arial" w:cs="Arial"/>
          <w:sz w:val="18"/>
        </w:rPr>
      </w:pPr>
      <w:r w:rsidRPr="007D4280">
        <w:rPr>
          <w:rFonts w:ascii="Arial" w:hAnsi="Arial"/>
          <w:sz w:val="18"/>
        </w:rPr>
        <w:t>À la connaissance de la Société, sous réserve de ce qui est décrit dans la présente notice annuelle, notamment en ce qui concerne l’accord de gouvernance décrit à la rubrique « Contrats importants » ci-dessous et la scission décrite à la rubrique « Évolution générale de l’activité » ci-dessus, aucun administrateur ou membre de la haute direction de la Société ni aucune des personnes ou sociétés qui sont propriétaires bénéficiaires, directes ou indirectes, de plus de 10 % des actions de la Société ou qui exercent un contrôle ou une emprise sur ces dernières, ni aucune des personnes qui ont des liens avec ces personnes ou sociétés ou qui font partie du même groupe qu’elles, n’ont d’intérêt important, direct ou indirect, dans une opération conclue au cours des trois derniers exercices ou de l’exercice financier courant qui a eu ou dont on peut raisonnablement s’attendre à ce qu’elle ait une incidence importante sur la Société ou ses filiales.</w:t>
      </w:r>
    </w:p>
    <w:p w14:paraId="08A1B54A" w14:textId="77777777" w:rsidR="00695197" w:rsidRPr="007D4280" w:rsidRDefault="00152032" w:rsidP="00E72EC2">
      <w:pPr>
        <w:pStyle w:val="AIF-Level1"/>
        <w:outlineLvl w:val="0"/>
      </w:pPr>
      <w:bookmarkStart w:id="76" w:name="_Toc226985999"/>
      <w:r w:rsidRPr="007D4280">
        <w:t>AGENT DES TRANSFERTS ET AGENT CHARGÉ DE LA TENUE DES REGISTRES</w:t>
      </w:r>
      <w:bookmarkEnd w:id="76"/>
    </w:p>
    <w:p w14:paraId="3EB49626"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 xml:space="preserve">L’agent des transferts de la Société est Services aux investisseurs </w:t>
      </w:r>
      <w:proofErr w:type="spellStart"/>
      <w:r w:rsidRPr="007D4280">
        <w:rPr>
          <w:rFonts w:ascii="Arial" w:hAnsi="Arial"/>
          <w:sz w:val="18"/>
        </w:rPr>
        <w:t>Computershare</w:t>
      </w:r>
      <w:proofErr w:type="spellEnd"/>
      <w:r w:rsidRPr="007D4280">
        <w:rPr>
          <w:rFonts w:ascii="Arial" w:hAnsi="Arial"/>
          <w:sz w:val="18"/>
        </w:rPr>
        <w:t> Inc., et les lieux de transfert des actions ordinaires de la Société se situent à Vancouver (Colombie-Britannique), à Calgary (Alberta), à Toronto (Ontario) et à Montréal (Québec).</w:t>
      </w:r>
    </w:p>
    <w:p w14:paraId="30F10779" w14:textId="77777777" w:rsidR="00695197" w:rsidRPr="007D4280" w:rsidRDefault="00152032" w:rsidP="00E72EC2">
      <w:pPr>
        <w:pStyle w:val="AIF-Level1"/>
        <w:outlineLvl w:val="0"/>
      </w:pPr>
      <w:bookmarkStart w:id="77" w:name="_Toc226986000"/>
      <w:r w:rsidRPr="007D4280">
        <w:t>INTÉRÊTS DES EXPERTS</w:t>
      </w:r>
      <w:bookmarkEnd w:id="77"/>
    </w:p>
    <w:p w14:paraId="29B8745E" w14:textId="2580EA5F" w:rsidR="00695197" w:rsidRPr="007D4280" w:rsidRDefault="00152032" w:rsidP="00E72EC2">
      <w:pPr>
        <w:spacing w:after="120" w:line="300" w:lineRule="auto"/>
        <w:rPr>
          <w:rFonts w:ascii="Arial" w:eastAsia="Arial" w:hAnsi="Arial" w:cs="Arial"/>
          <w:sz w:val="18"/>
        </w:rPr>
      </w:pPr>
      <w:r w:rsidRPr="007D4280">
        <w:rPr>
          <w:rFonts w:ascii="Arial" w:hAnsi="Arial"/>
          <w:sz w:val="18"/>
        </w:rPr>
        <w:t>Les auditeurs indépendants de la Société, KPMG </w:t>
      </w:r>
      <w:proofErr w:type="spellStart"/>
      <w:r w:rsidRPr="007D4280">
        <w:rPr>
          <w:rFonts w:ascii="Arial" w:hAnsi="Arial"/>
          <w:sz w:val="18"/>
        </w:rPr>
        <w:t>s.r.l</w:t>
      </w:r>
      <w:proofErr w:type="spellEnd"/>
      <w:r w:rsidRPr="007D4280">
        <w:rPr>
          <w:rFonts w:ascii="Arial" w:hAnsi="Arial"/>
          <w:sz w:val="18"/>
        </w:rPr>
        <w:t xml:space="preserve">./S.E.N.C.R.L., ont produit un rapport des auditeurs pour la Société concernant les bilans consolidés de la Société au 31 décembre 2025 et 2024, les états consolidés des résultats, les états consolidés des autres éléments du résultat global (pertes) et les états consolidés des variations des capitaux propres, ainsi que les tableaux consolidés des flux de trésorerie pour les exercices clos les 31 décembre 2025 et 2024. KPMG </w:t>
      </w:r>
      <w:proofErr w:type="spellStart"/>
      <w:r w:rsidRPr="007D4280">
        <w:rPr>
          <w:rFonts w:ascii="Arial" w:hAnsi="Arial"/>
          <w:sz w:val="18"/>
        </w:rPr>
        <w:t>s.r.l</w:t>
      </w:r>
      <w:proofErr w:type="spellEnd"/>
      <w:r w:rsidRPr="007D4280">
        <w:rPr>
          <w:rFonts w:ascii="Arial" w:hAnsi="Arial"/>
          <w:sz w:val="18"/>
        </w:rPr>
        <w:t>./S.E.N.C.R.L. est un cabinet d’audit indépendant par rapport à la Société au sens des règles pertinentes et des interprétations connexes prévues par les ordres professionnels concernés au Canada.</w:t>
      </w:r>
    </w:p>
    <w:p w14:paraId="2454F199" w14:textId="77777777" w:rsidR="00695197" w:rsidRPr="007D4280" w:rsidRDefault="00152032" w:rsidP="00E72EC2">
      <w:pPr>
        <w:pStyle w:val="AIF-Level1"/>
        <w:outlineLvl w:val="0"/>
      </w:pPr>
      <w:bookmarkStart w:id="78" w:name="_Toc226986001"/>
      <w:r w:rsidRPr="007D4280">
        <w:t>CONTRATS IMPORTANTS</w:t>
      </w:r>
      <w:bookmarkEnd w:id="78"/>
    </w:p>
    <w:p w14:paraId="505176C6" w14:textId="77777777" w:rsidR="00A56E89" w:rsidRPr="007D4280" w:rsidRDefault="00A56E89" w:rsidP="00A56E89">
      <w:pPr>
        <w:spacing w:after="120" w:line="300" w:lineRule="auto"/>
        <w:jc w:val="both"/>
        <w:rPr>
          <w:rFonts w:ascii="Arial" w:eastAsia="Arial" w:hAnsi="Arial" w:cs="Arial"/>
          <w:sz w:val="18"/>
        </w:rPr>
      </w:pPr>
      <w:r w:rsidRPr="007D4280">
        <w:rPr>
          <w:rFonts w:ascii="Arial" w:hAnsi="Arial"/>
          <w:sz w:val="18"/>
        </w:rPr>
        <w:t>Hormis les contrats conclus dans le cours normal des activités, les contrats suivants sont les seuls contrats importants de la Société assujettis à l’obligation de déclaration :</w:t>
      </w:r>
    </w:p>
    <w:p w14:paraId="60466797" w14:textId="77777777" w:rsidR="00A56E89" w:rsidRPr="007D4280" w:rsidRDefault="00A56E89" w:rsidP="003E4920">
      <w:pPr>
        <w:pStyle w:val="ListParagraph"/>
        <w:numPr>
          <w:ilvl w:val="0"/>
          <w:numId w:val="24"/>
        </w:numPr>
        <w:autoSpaceDE/>
        <w:autoSpaceDN/>
        <w:adjustRightInd/>
        <w:spacing w:before="0" w:after="120" w:line="300" w:lineRule="auto"/>
        <w:contextualSpacing/>
        <w:jc w:val="both"/>
        <w:rPr>
          <w:rFonts w:eastAsia="Arial"/>
          <w:sz w:val="18"/>
        </w:rPr>
      </w:pPr>
      <w:proofErr w:type="gramStart"/>
      <w:r w:rsidRPr="007D4280">
        <w:rPr>
          <w:sz w:val="18"/>
        </w:rPr>
        <w:t>la</w:t>
      </w:r>
      <w:proofErr w:type="gramEnd"/>
      <w:r w:rsidRPr="007D4280">
        <w:rPr>
          <w:sz w:val="18"/>
        </w:rPr>
        <w:t xml:space="preserve"> convention d’arrangement;</w:t>
      </w:r>
    </w:p>
    <w:p w14:paraId="0800E7A5" w14:textId="77777777" w:rsidR="00A56E89" w:rsidRPr="007D4280" w:rsidRDefault="00A56E89" w:rsidP="003E4920">
      <w:pPr>
        <w:pStyle w:val="ListParagraph"/>
        <w:numPr>
          <w:ilvl w:val="0"/>
          <w:numId w:val="24"/>
        </w:numPr>
        <w:autoSpaceDE/>
        <w:autoSpaceDN/>
        <w:adjustRightInd/>
        <w:spacing w:before="0" w:after="120" w:line="300" w:lineRule="auto"/>
        <w:contextualSpacing/>
        <w:jc w:val="both"/>
        <w:rPr>
          <w:rFonts w:eastAsia="Arial"/>
          <w:sz w:val="18"/>
        </w:rPr>
      </w:pPr>
      <w:proofErr w:type="gramStart"/>
      <w:r w:rsidRPr="007D4280">
        <w:rPr>
          <w:sz w:val="18"/>
        </w:rPr>
        <w:t>l’accord</w:t>
      </w:r>
      <w:proofErr w:type="gramEnd"/>
      <w:r w:rsidRPr="007D4280">
        <w:rPr>
          <w:sz w:val="18"/>
        </w:rPr>
        <w:t xml:space="preserve"> d’approvisionnement;</w:t>
      </w:r>
    </w:p>
    <w:p w14:paraId="25C36BFA" w14:textId="77777777" w:rsidR="00A56E89" w:rsidRPr="007D4280" w:rsidRDefault="00A56E89" w:rsidP="003E4920">
      <w:pPr>
        <w:pStyle w:val="ListParagraph"/>
        <w:numPr>
          <w:ilvl w:val="0"/>
          <w:numId w:val="24"/>
        </w:numPr>
        <w:autoSpaceDE/>
        <w:autoSpaceDN/>
        <w:adjustRightInd/>
        <w:spacing w:before="0" w:after="120" w:line="300" w:lineRule="auto"/>
        <w:contextualSpacing/>
        <w:jc w:val="both"/>
        <w:rPr>
          <w:rFonts w:eastAsia="Arial"/>
          <w:sz w:val="18"/>
        </w:rPr>
      </w:pPr>
      <w:proofErr w:type="gramStart"/>
      <w:r w:rsidRPr="007D4280">
        <w:rPr>
          <w:sz w:val="18"/>
        </w:rPr>
        <w:t>l’accord</w:t>
      </w:r>
      <w:proofErr w:type="gramEnd"/>
      <w:r w:rsidRPr="007D4280">
        <w:rPr>
          <w:sz w:val="18"/>
        </w:rPr>
        <w:t xml:space="preserve"> de gouvernance.</w:t>
      </w:r>
    </w:p>
    <w:p w14:paraId="551210CA" w14:textId="1BD0BA39" w:rsidR="00A56E89" w:rsidRPr="007D4280" w:rsidRDefault="00A56E89" w:rsidP="00A56E89">
      <w:pPr>
        <w:spacing w:after="120" w:line="300" w:lineRule="auto"/>
        <w:rPr>
          <w:rFonts w:ascii="Arial" w:hAnsi="Arial" w:cs="Arial"/>
          <w:sz w:val="18"/>
          <w:szCs w:val="18"/>
        </w:rPr>
      </w:pPr>
      <w:r w:rsidRPr="007D4280">
        <w:rPr>
          <w:rFonts w:ascii="Arial" w:hAnsi="Arial"/>
          <w:sz w:val="18"/>
        </w:rPr>
        <w:t>La convention d’arrangement et l’accord d’approvisionnement ont été conclus dans le cadre de la Scission. Vous trouverez ci-dessous un résumé de la convention d’arrangement et de l’accord d’approvisionnement; l’accord de gouvernance est résumé à la rubrique « Description de la structure du capital – Accord de gouvernance ». Ces résumés sont tous assujettis, dans leur intégralité, au texte complet des accords. La convention d’arrangement figure dans la circulaire de l’assemblée générale annuelle et extraordinaire de la Société datée du 1</w:t>
      </w:r>
      <w:r w:rsidRPr="007D4280">
        <w:rPr>
          <w:rFonts w:ascii="Arial" w:hAnsi="Arial"/>
          <w:sz w:val="18"/>
          <w:vertAlign w:val="superscript"/>
        </w:rPr>
        <w:t>er</w:t>
      </w:r>
      <w:r w:rsidRPr="007D4280">
        <w:rPr>
          <w:rFonts w:ascii="Arial" w:hAnsi="Arial"/>
          <w:sz w:val="18"/>
        </w:rPr>
        <w:t xml:space="preserve"> mai 2025, disponible sur le profil SEDAR+ de la Société, tandis que l’accord d’approvisionnement et l’accord de gouvernance sont disponibles sur le profil SEDAR+ de la Société au </w:t>
      </w:r>
      <w:hyperlink r:id="rId26" w:history="1">
        <w:r w:rsidRPr="007D4280">
          <w:rPr>
            <w:rStyle w:val="Hyperlink"/>
            <w:rFonts w:ascii="Arial" w:hAnsi="Arial"/>
            <w:sz w:val="18"/>
          </w:rPr>
          <w:t>www.sedarplus.ca</w:t>
        </w:r>
      </w:hyperlink>
      <w:r w:rsidRPr="007D4280">
        <w:rPr>
          <w:rFonts w:ascii="Arial" w:hAnsi="Arial"/>
          <w:sz w:val="18"/>
        </w:rPr>
        <w:t>.</w:t>
      </w:r>
    </w:p>
    <w:p w14:paraId="311AED5A" w14:textId="77777777" w:rsidR="00A56E89" w:rsidRPr="007D4280" w:rsidRDefault="00A56E89" w:rsidP="00A56E89">
      <w:pPr>
        <w:pStyle w:val="BodyText"/>
        <w:keepNext/>
        <w:rPr>
          <w:i/>
          <w:iCs/>
        </w:rPr>
      </w:pPr>
      <w:r w:rsidRPr="007D4280">
        <w:rPr>
          <w:i/>
        </w:rPr>
        <w:t>Convention d’arrangement</w:t>
      </w:r>
    </w:p>
    <w:p w14:paraId="7110529C" w14:textId="78FD788D" w:rsidR="00A56E89" w:rsidRPr="007D4280" w:rsidRDefault="00A56E89" w:rsidP="00A56E89">
      <w:pPr>
        <w:pStyle w:val="BodyText"/>
        <w:keepNext/>
      </w:pPr>
      <w:r w:rsidRPr="007D4280">
        <w:t>Le 29 avril 2025, les Aliments Maple Leaf et les prédécesseurs juridiques de Canada Packers ont conclu une convention d’arrangement (la « convention d’arrangement »). La convention d’arrangement a donné effet à la Scission des activités porcines de la Société à Canada Packers, une société distincte cotée en bourse, et contient également certaines clauses habituelles prévoyant que les parties coopèrent pour mener à bien la Scission, notamment pour i) traiter mutuellement les questions de transition et autres questions liées à la Scission et aux opérations qui y sont associées ou en découlant, et ii) s’abstenir de poser tout acte ou de conclure toute opération susceptible d’entraver ou d’être incompatible avec la réalisation de la Scission ou l’application de la décision rendue par l’Agence du revenu du Canada concernant la structure en papillon de la Scission (la « décision fiscale »).</w:t>
      </w:r>
    </w:p>
    <w:p w14:paraId="3B19109F" w14:textId="4B9F7D4D" w:rsidR="00B747AC" w:rsidRPr="007D4280" w:rsidRDefault="00A56E89" w:rsidP="00A56E89">
      <w:pPr>
        <w:pStyle w:val="BodyText"/>
        <w:keepNext/>
      </w:pPr>
      <w:r w:rsidRPr="007D4280">
        <w:t>En outre, la convention d’arrangement contient un certain nombre d’engagements particuliers liés à la décision fiscale, notamment des engagements pris par les Aliments Maple Leaf et Canada Packers selon lesquels, pendant une période de deux ans à compter de la date d’entrée en vigueur de la Scission, elles ne prendront aucune mesure, n’omettront aucune action ni ne concluront aucune opération susceptible d’entraîner l’imposition de la Scission et des opérations qui y sont associées d’une manière incompatible avec les dispositions de la décision fiscale, sans avoir obtenu une décision fiscale ou l’avis d’un cabinet d’avocats de renommée nationale confirmant que cette mesure, cette omission ou cette opération n’aura pas un tel effet, et prévoit également une déclaration par les parties à la convention d’arrangement selon laquelle elles n’ont actuellement aucune intention de prendre des mesures, d’omettre de prendre des mesures ou de conclure des opérations qui pourraient entraîner l’imposition de la Scission ou de toute opération connexe d’une manière incompatible avec les dispositions de la décision fiscale. Chaque partie à la convention d’arrangement indemnise les autres parties pour toute perte subie ou encourue, directement ou indirectement, résultant de la violation de la présente clause par la partie tenue à l’indemnisation ou liée à celle-ci.</w:t>
      </w:r>
    </w:p>
    <w:p w14:paraId="5C1F9AA5" w14:textId="7846BE1A" w:rsidR="00A56E89" w:rsidRPr="007D4280" w:rsidRDefault="00A56E89" w:rsidP="00A56E89">
      <w:pPr>
        <w:pStyle w:val="BodyText"/>
        <w:keepNext/>
        <w:rPr>
          <w:i/>
          <w:iCs/>
        </w:rPr>
      </w:pPr>
      <w:r w:rsidRPr="007D4280">
        <w:rPr>
          <w:i/>
        </w:rPr>
        <w:t>Accord d’approvisionnement</w:t>
      </w:r>
    </w:p>
    <w:p w14:paraId="437C8302" w14:textId="1D0F684C" w:rsidR="00A56E89" w:rsidRPr="007D4280" w:rsidRDefault="00A56E89" w:rsidP="00A56E89">
      <w:pPr>
        <w:pStyle w:val="BodyText"/>
        <w:keepNext/>
      </w:pPr>
      <w:r w:rsidRPr="007D4280">
        <w:t>Le 28 juillet 2025, les Aliments Maple Leaf et un prédécesseur juridique de Canada Packers ont conclu un accord d’approvisionnement à durée indéterminée (l</w:t>
      </w:r>
      <w:proofErr w:type="gramStart"/>
      <w:r w:rsidRPr="007D4280">
        <w:t>’«</w:t>
      </w:r>
      <w:proofErr w:type="gramEnd"/>
      <w:r w:rsidRPr="007D4280">
        <w:t xml:space="preserve"> accord d’approvisionnement »), en vertu duquel les Aliments Maple Leaf est devenue le client principal de Canada Packers, et Canada Packers est devenue un fournisseur de viande de porc des Aliments Maple Leaf pour sa gamme d’aliments préparés. Conformément à l’accord d’approvisionnement, i) Canada Packers assure aux Aliments Maple Leaf un approvisionnement fiable en viande de porc durable et de haute qualité, que les Aliments Maple Leaf achète à Canada Packers à des cours fixés par l’USDA afin de répondre aux besoins de sa gamme d’aliments préparés; ii) les Aliments Maple Leaf concède sous licence certains droits de propriété intellectuelle et certaines marques de commerce à Canada Packers; et iii) les Aliments Maple Leaf fournit à Canada Packers des services de courtage auprès de clients nord-américains. </w:t>
      </w:r>
    </w:p>
    <w:p w14:paraId="1ABAC01E" w14:textId="77777777" w:rsidR="00A56E89" w:rsidRPr="007D4280" w:rsidRDefault="00A56E89" w:rsidP="00A56E89">
      <w:pPr>
        <w:pStyle w:val="BodyText"/>
      </w:pPr>
      <w:r w:rsidRPr="007D4280">
        <w:t>En vertu de l’accord d’approvisionnement, les Aliments Maple Leaf fournit à Canada Packers des prévisions quinquennales sur les porcs, mises à jour sur une base annuelle, et Canada Packers est responsable de l’élevage, ou de faire l’élevage, du nombre de porcs précisé dans chaque prévision annuelle, jusqu’à concurrence d’un nombre maximal de porcs convenu. En particulier, l’accord d’approvisionnement prévoit, entre autres, que, sous réserve des conditions qui y sont stipulées :</w:t>
      </w:r>
    </w:p>
    <w:p w14:paraId="0968F0F4" w14:textId="77777777" w:rsidR="00A56E89" w:rsidRPr="007D4280" w:rsidRDefault="00A56E89" w:rsidP="003E4920">
      <w:pPr>
        <w:pStyle w:val="BodyText"/>
        <w:widowControl/>
        <w:numPr>
          <w:ilvl w:val="0"/>
          <w:numId w:val="23"/>
        </w:numPr>
        <w:autoSpaceDE/>
        <w:autoSpaceDN/>
        <w:adjustRightInd/>
        <w:spacing w:after="240" w:line="240" w:lineRule="auto"/>
      </w:pPr>
      <w:r w:rsidRPr="007D4280">
        <w:t>Les Aliments Maple Leaf versera une prime pour chaque porc élevé sans antibiotiques (« ÉSA ») par Canada Packers dans le cadre de l’accord, destinée à couvrir le surcoût lié à l’élevage d’un porc ÉSA (la « prime ÉSA ») ainsi qu’une marge (la « marge »). La prime ÉSA et la marge sont toutes deux calculées sur la base d’une grille tarifaire fixée au plus tard le 30 septembre de chaque année, et établie conformément aux dispositions de l’accord d’approvisionnement. Dans la mesure où Canada Packers vend à d’autres clients du porc provenant de ces porcs ÉSA avec une mention « ÉSA », elle remboursera aux Aliments Maple Leaf une part proportionnelle de la prime ÉSA. Si l’un des éléments de la prime ÉSA devenait une exigence du secteur, le coût de cet élément serait retiré de la prime ÉSA; de même, si les spécifications ÉSA devenaient une exigence du secteur, la prime ÉSA serait supprimée;</w:t>
      </w:r>
    </w:p>
    <w:p w14:paraId="19F08102" w14:textId="77777777" w:rsidR="00A56E89" w:rsidRPr="007D4280" w:rsidRDefault="00A56E89" w:rsidP="003E4920">
      <w:pPr>
        <w:pStyle w:val="BodyText"/>
        <w:widowControl/>
        <w:numPr>
          <w:ilvl w:val="0"/>
          <w:numId w:val="23"/>
        </w:numPr>
        <w:autoSpaceDE/>
        <w:autoSpaceDN/>
        <w:adjustRightInd/>
        <w:spacing w:after="240" w:line="240" w:lineRule="auto"/>
      </w:pPr>
      <w:r w:rsidRPr="007D4280">
        <w:t>Les Aliments Maple Leaf paiera également une prime pour chaque porc élevé par Canada Packers en gestation en groupe, conformément aux prévisions (la « prime pour gestation en groupe »), et, dans la mesure où Canada Packers vend du porc provenant de ces élevages à d’autres clients avec une mention « gestation en groupe », elle remboursera aux Aliments Maple Leaf une part proportionnelle de la prime pour gestation en groupe. Si les spécifications de la gestation en groupe deviennent une norme du secteur, la prime pour gestation en groupe sera supprimée;</w:t>
      </w:r>
    </w:p>
    <w:p w14:paraId="3A91DE54" w14:textId="77777777" w:rsidR="00A56E89" w:rsidRPr="007D4280" w:rsidRDefault="00A56E89" w:rsidP="003E4920">
      <w:pPr>
        <w:pStyle w:val="BodyText"/>
        <w:widowControl/>
        <w:numPr>
          <w:ilvl w:val="0"/>
          <w:numId w:val="23"/>
        </w:numPr>
        <w:autoSpaceDE/>
        <w:autoSpaceDN/>
        <w:adjustRightInd/>
        <w:spacing w:after="240" w:line="240" w:lineRule="auto"/>
      </w:pPr>
      <w:r w:rsidRPr="007D4280">
        <w:t xml:space="preserve">Les Aliments Maple Leaf fournira à Canada Packers des services de désossage du jambon sur la base d’un coût majoré; </w:t>
      </w:r>
    </w:p>
    <w:p w14:paraId="090B03A0" w14:textId="77777777" w:rsidR="00A56E89" w:rsidRPr="007D4280" w:rsidRDefault="00A56E89" w:rsidP="003E4920">
      <w:pPr>
        <w:pStyle w:val="BodyText"/>
        <w:widowControl/>
        <w:numPr>
          <w:ilvl w:val="0"/>
          <w:numId w:val="23"/>
        </w:numPr>
        <w:autoSpaceDE/>
        <w:autoSpaceDN/>
        <w:adjustRightInd/>
        <w:spacing w:after="240" w:line="240" w:lineRule="auto"/>
      </w:pPr>
      <w:proofErr w:type="gramStart"/>
      <w:r w:rsidRPr="007D4280">
        <w:t>si</w:t>
      </w:r>
      <w:proofErr w:type="gramEnd"/>
      <w:r w:rsidRPr="007D4280">
        <w:t xml:space="preserve"> les Aliments Maple Leaf souhaite augmenter ses volumes de production porcine au-delà du plafond convenu, Canada Packers et les Aliments Maple Leaf devront s’entendre sur les dépenses en immobilisations nécessaires à cette augmentation, et les Aliments Maple Leaf remboursera à Canada Packers la part des dépenses en immobilisations convenue au préalable;</w:t>
      </w:r>
    </w:p>
    <w:p w14:paraId="0696D311" w14:textId="77777777" w:rsidR="00A56E89" w:rsidRPr="007D4280" w:rsidRDefault="00A56E89" w:rsidP="003E4920">
      <w:pPr>
        <w:pStyle w:val="BodyText"/>
        <w:widowControl/>
        <w:numPr>
          <w:ilvl w:val="0"/>
          <w:numId w:val="23"/>
        </w:numPr>
        <w:autoSpaceDE/>
        <w:autoSpaceDN/>
        <w:adjustRightInd/>
        <w:spacing w:after="240" w:line="240" w:lineRule="auto"/>
      </w:pPr>
      <w:r w:rsidRPr="007D4280">
        <w:t>Les Aliments Maple Leaf fournit à Canada Packers des services d’intermédiaire auprès de clients nord-américains, à l’exception de certains comptes exclus (par exemple, le secteur industriel ou les aliments pour animaux de compagnie), moyennant des frais mensuels.</w:t>
      </w:r>
    </w:p>
    <w:p w14:paraId="632BE0A8" w14:textId="11E48D4B" w:rsidR="00A56E89" w:rsidRPr="007D4280" w:rsidRDefault="00A56E89" w:rsidP="00A56E89">
      <w:pPr>
        <w:pStyle w:val="BodyText"/>
      </w:pPr>
      <w:r w:rsidRPr="007D4280">
        <w:t xml:space="preserve">Certains événements, notamment les perturbations du marché et les événements importants ayant une incidence défavorable (par exemple, les cas de force majeure), donnent droit à une partie à une dispense d’exécution. Aux termes de l’accord d’approvisionnement, les Aliments Maple Leaf s’est engagée à indemniser Canada Packers, et Canada Packers s’est engagée à indemniser les Aliments Maple Leaf et ses sociétés affiliées, ainsi que leurs dirigeants, administrateurs, employés, agents et représentants respectifs, contre toute perte liée à un comportement, une négligence, un acte illicite ou une omission, ou à une violation de l’accord d’approvisionnement. Canada Packers s’est engagée également à indemniser les Aliments Maple Leaf et ses sociétés affiliées, ainsi que leurs dirigeants, administrateurs, employés, agents et représentants respectifs, contre toute perte liée à une fermeture des installations ou des bâtiments d’élevage, ou à une réduction substantielle des capacités de Canada Packers au Canada ou aux États-Unis, ainsi qu’à l’utilisation par Canada Packers de certains éléments de propriété intellectuelle sous licence d’une manière non conforme à l’accord d’approvisionnement. </w:t>
      </w:r>
    </w:p>
    <w:p w14:paraId="255670B0" w14:textId="77777777" w:rsidR="00A56E89" w:rsidRPr="007D4280" w:rsidRDefault="00A56E89" w:rsidP="00A56E89">
      <w:pPr>
        <w:pStyle w:val="BodyText"/>
      </w:pPr>
      <w:r w:rsidRPr="007D4280">
        <w:t>En outre, l’accord d’approvisionnement confère aux Aliments Maple Leaf une option d’achat des actifs de Canada Packers qui sont raisonnablement nécessaires pour permettre à cette dernière de s’acquitter de ses obligations au titre dudit accord, à leur juste valeur marchande (sous réserve d’une procédure d’évaluation indépendante formelle si cette valeur ne peut faire l’objet d’un accord mutuel) dès la survenance de certains événements déclencheurs, notamment i) certains cas de défaut de paiement de la part de Canada Packers au titre de ses principaux documents de financement par emprunt (ou certains autres cas de défaut ayant entraîné l’accélération du remboursement de la dette), ii) si Canada Packers devient insolvable, consent à une cession générale au profit de ses créanciers ou procède à une telle cession, ou iii) si une procédure est engagée par Canada Packers en vue de sa liquidation ou de sa dissolution (l’« option d’achat »). Toute opération d’achat et de vente résultant de l’exercice de l’option d’achat sera soumise aux conditions de clôture habituelles, y compris l’obtention des autorisations ou consentements requis.</w:t>
      </w:r>
    </w:p>
    <w:p w14:paraId="002DD9BF" w14:textId="078819C6" w:rsidR="00A56E89" w:rsidRPr="007D4280" w:rsidRDefault="00A56E89" w:rsidP="00A56E89">
      <w:pPr>
        <w:pStyle w:val="BodyText"/>
      </w:pPr>
      <w:r w:rsidRPr="007D4280">
        <w:t xml:space="preserve">Les Aliments Maple Leaf dispose également d’un droit de préemption pour l’achat des installations de transformation de Canada Packers (ou de toute partie de celles-ci ou de toute participation y afférente) au cas où Canada Packers recevrait une </w:t>
      </w:r>
      <w:r w:rsidR="003249ED">
        <w:t>de</w:t>
      </w:r>
      <w:r w:rsidRPr="007D4280">
        <w:rPr>
          <w:i/>
        </w:rPr>
        <w:t xml:space="preserve"> bonne foi</w:t>
      </w:r>
      <w:r w:rsidRPr="007D4280">
        <w:t xml:space="preserve"> d’un tiers visant à acquérir ses installations. Les Aliments Maple Leaf dispose également de certains droits d’intervention en vertu de l’accord d’approvisionnement, selon lesquels les Aliments Maple Leaf peut intervenir pour atténuer, rectifier ou prévenir une situation si, agissant raisonnablement, elle estime que : i) une violation de l’accord d’approvisionnement par Canada Packers (A) est susceptible de créer une menace immédiate et grave pour la santé ou la sécurité, ou pour la réputation des Aliments Maple Leaf, ou (B) porte préjudice à la capacité de poursuivre les activités des Aliments Maple Leaf de manière importante; ou ii) Canada Packers contrevient par ailleurs de manière importante à ses obligations en vertu de l’accord d’approvisionnement; ou iii) Canada Packers cumule des manquements continus et importants en matière de service, de qualité ou de sécurité.</w:t>
      </w:r>
    </w:p>
    <w:p w14:paraId="07F438AD" w14:textId="7A0724A3" w:rsidR="00A57273" w:rsidRPr="007D4280" w:rsidRDefault="00A56E89" w:rsidP="00A56E89">
      <w:pPr>
        <w:spacing w:after="120" w:line="300" w:lineRule="auto"/>
        <w:rPr>
          <w:rFonts w:ascii="Arial" w:eastAsia="Arial" w:hAnsi="Arial" w:cs="Arial"/>
          <w:sz w:val="18"/>
        </w:rPr>
      </w:pPr>
      <w:r w:rsidRPr="007D4280">
        <w:rPr>
          <w:rFonts w:ascii="Arial" w:hAnsi="Arial"/>
          <w:sz w:val="18"/>
        </w:rPr>
        <w:t xml:space="preserve">Les Aliments Maple Leaf a le droit de résilier l’accord d’approvisionnement moyennant un préavis écrit si i) Canada Packers devient insolvable, consent à une cession générale au profit de ses créanciers ou procède à une telle cession; ii) Canada Packers commet un manquement grave à l’une de ses obligations au titre de l’accord d’approvisionnement et ne remédie pas à ce manquement dans un délai de 30 jours; iii) une procédure est engagée par Canada Packers en vue de sa liquidation ou de sa dissolution; ou iv) certains cas de défaut de paiement de la part de Canada Packers se sont produits en vertu de ses principaux documents de financement par emprunt (ou certains autres cas de défaut ayant entraîné l’accélération du remboursement de la dette). </w:t>
      </w:r>
      <w:r w:rsidRPr="007D4280">
        <w:rPr>
          <w:rFonts w:ascii="Arial" w:hAnsi="Arial"/>
          <w:b/>
          <w:sz w:val="18"/>
        </w:rPr>
        <w:t xml:space="preserve"> </w:t>
      </w:r>
    </w:p>
    <w:p w14:paraId="7FDBF8C4" w14:textId="4FB4C6ED" w:rsidR="00D34F00" w:rsidRPr="007D4280" w:rsidRDefault="00152032" w:rsidP="004A454D">
      <w:pPr>
        <w:pStyle w:val="BodyText"/>
      </w:pPr>
      <w:r w:rsidRPr="007D4280">
        <w:t xml:space="preserve">L’accord de gouvernance est accessible sur SEDAR+ au </w:t>
      </w:r>
      <w:hyperlink r:id="rId27" w:history="1">
        <w:r w:rsidRPr="007D4280">
          <w:rPr>
            <w:rStyle w:val="Hyperlink"/>
          </w:rPr>
          <w:t>www.sedarplus.ca</w:t>
        </w:r>
      </w:hyperlink>
      <w:r w:rsidRPr="007D4280">
        <w:t xml:space="preserve"> et est résumé à la rubrique Description de la structure du capital – Accord de gouvernance.</w:t>
      </w:r>
    </w:p>
    <w:p w14:paraId="035C3C5E" w14:textId="5510B099" w:rsidR="00D34F00" w:rsidRPr="007D4280" w:rsidRDefault="00D34F00">
      <w:pPr>
        <w:rPr>
          <w:rFonts w:ascii="Arial" w:eastAsia="Yu Mincho" w:hAnsi="Arial" w:cs="Arial"/>
          <w:kern w:val="0"/>
          <w:sz w:val="18"/>
          <w:szCs w:val="18"/>
        </w:rPr>
      </w:pPr>
    </w:p>
    <w:p w14:paraId="5AB7F995" w14:textId="77777777" w:rsidR="005604D6" w:rsidRPr="007D4280" w:rsidRDefault="005604D6" w:rsidP="004A454D">
      <w:pPr>
        <w:pStyle w:val="BodyText"/>
      </w:pPr>
    </w:p>
    <w:p w14:paraId="4EE62BB4" w14:textId="3B95E0C0" w:rsidR="00695197" w:rsidRPr="007D4280" w:rsidRDefault="00152032" w:rsidP="00BD7E95">
      <w:pPr>
        <w:pStyle w:val="AIF-Level1"/>
        <w:outlineLvl w:val="0"/>
      </w:pPr>
      <w:bookmarkStart w:id="79" w:name="_Toc226986002"/>
      <w:r w:rsidRPr="007D4280">
        <w:t>RENSEIGNEMENTS SUPPLÉMENTAIRES</w:t>
      </w:r>
      <w:bookmarkEnd w:id="79"/>
    </w:p>
    <w:p w14:paraId="6F277A78" w14:textId="0EABF717" w:rsidR="00695197" w:rsidRPr="007D4280" w:rsidRDefault="00152032" w:rsidP="00E72EC2">
      <w:pPr>
        <w:spacing w:after="120" w:line="300" w:lineRule="auto"/>
        <w:rPr>
          <w:rFonts w:ascii="Arial" w:eastAsia="Arial" w:hAnsi="Arial" w:cs="Arial"/>
          <w:sz w:val="18"/>
        </w:rPr>
      </w:pPr>
      <w:r w:rsidRPr="007D4280">
        <w:rPr>
          <w:rFonts w:ascii="Arial" w:hAnsi="Arial"/>
          <w:sz w:val="18"/>
        </w:rPr>
        <w:t>L’avis de convocation à l’assemblée générale annuelle et la circulaire de sollicitation de procurations, préparées à l’occasion de la plus récente assemblée annuelle des actionnaires, contiennent des renseignements complémentaires, notamment la rémunération versée aux administrateurs et aux membres de la direction nommés ainsi que leur endettement, les principaux porteurs d’actions ordinaires, les titres pouvant être émis en vertu de régimes de rémunération fondés sur des titres de capitaux propres et les intérêts d’initiés dans les opérations importantes, le cas échéant. On trouve également des renseignements complémentaires dans le rapport de gestion de 2025 et dans les états financiers annuels de la Société pour l’exercice ayant pris fin le 31 décembre 2025. Il est possible de se procurer sans frais des copies des documents ci-dessus en envoyant une demande au secrétaire général des Aliments Maple Leaf Inc. à l’adresse suivante : 6897 Financial Drive, Mississauga (</w:t>
      </w:r>
      <w:proofErr w:type="gramStart"/>
      <w:r w:rsidRPr="007D4280">
        <w:rPr>
          <w:rFonts w:ascii="Arial" w:hAnsi="Arial"/>
          <w:sz w:val="18"/>
        </w:rPr>
        <w:t>Ontario)  L</w:t>
      </w:r>
      <w:proofErr w:type="gramEnd"/>
      <w:r w:rsidRPr="007D4280">
        <w:rPr>
          <w:rFonts w:ascii="Arial" w:hAnsi="Arial"/>
          <w:sz w:val="18"/>
        </w:rPr>
        <w:t>5N 0A8.</w:t>
      </w:r>
    </w:p>
    <w:p w14:paraId="589244E1" w14:textId="6F911DA4" w:rsidR="00695197" w:rsidRPr="007D4280" w:rsidRDefault="00152032" w:rsidP="00E72EC2">
      <w:pPr>
        <w:spacing w:after="120" w:line="300" w:lineRule="auto"/>
        <w:rPr>
          <w:rFonts w:ascii="Arial" w:eastAsia="Arial" w:hAnsi="Arial" w:cs="Arial"/>
          <w:sz w:val="18"/>
        </w:rPr>
      </w:pPr>
      <w:r w:rsidRPr="007D4280">
        <w:rPr>
          <w:rFonts w:ascii="Arial" w:hAnsi="Arial"/>
          <w:sz w:val="18"/>
        </w:rPr>
        <w:t xml:space="preserve">L’information ci-dessus et les renseignements complémentaires relatifs aux Aliments Maple Leaf sont accessibles sur SEDAR, au </w:t>
      </w:r>
      <w:hyperlink r:id="rId28" w:history="1">
        <w:r w:rsidRPr="007D4280">
          <w:rPr>
            <w:rStyle w:val="Hyperlink"/>
            <w:rFonts w:ascii="Arial" w:hAnsi="Arial"/>
            <w:sz w:val="18"/>
          </w:rPr>
          <w:t>www.sedar.ca</w:t>
        </w:r>
      </w:hyperlink>
      <w:r w:rsidRPr="007D4280">
        <w:rPr>
          <w:rFonts w:ascii="Arial" w:hAnsi="Arial"/>
          <w:sz w:val="18"/>
        </w:rPr>
        <w:t>.</w:t>
      </w:r>
      <w:r w:rsidRPr="007D4280">
        <w:rPr>
          <w:rFonts w:ascii="Arial" w:hAnsi="Arial"/>
          <w:sz w:val="18"/>
        </w:rPr>
        <w:br w:type="page"/>
      </w:r>
    </w:p>
    <w:p w14:paraId="7E694C2B" w14:textId="4D4E9021" w:rsidR="00695197" w:rsidRPr="007D4280" w:rsidRDefault="00152032" w:rsidP="00E72EC2">
      <w:pPr>
        <w:pStyle w:val="AIF-Level1"/>
        <w:outlineLvl w:val="0"/>
      </w:pPr>
      <w:bookmarkStart w:id="80" w:name="_Toc226986003"/>
      <w:bookmarkStart w:id="81" w:name="_Hlk158809166"/>
      <w:r w:rsidRPr="007D4280">
        <w:t>ANNEXE A</w:t>
      </w:r>
      <w:bookmarkEnd w:id="80"/>
    </w:p>
    <w:p w14:paraId="289C050F" w14:textId="77777777" w:rsidR="00695197" w:rsidRPr="007D4280" w:rsidRDefault="00152032" w:rsidP="00E72EC2">
      <w:pPr>
        <w:spacing w:after="120" w:line="300" w:lineRule="auto"/>
        <w:jc w:val="center"/>
        <w:rPr>
          <w:rFonts w:ascii="Arial" w:eastAsia="Arial" w:hAnsi="Arial" w:cs="Arial"/>
          <w:sz w:val="18"/>
        </w:rPr>
      </w:pPr>
      <w:r w:rsidRPr="007D4280">
        <w:rPr>
          <w:rFonts w:ascii="Arial" w:hAnsi="Arial"/>
          <w:b/>
          <w:sz w:val="18"/>
        </w:rPr>
        <w:t>CHARTE DU COMITÉ D’AUDIT</w:t>
      </w:r>
    </w:p>
    <w:p w14:paraId="047AD89C" w14:textId="77777777" w:rsidR="00695197" w:rsidRPr="007D4280" w:rsidRDefault="00152032" w:rsidP="00E72EC2">
      <w:pPr>
        <w:spacing w:line="300" w:lineRule="auto"/>
        <w:jc w:val="center"/>
        <w:rPr>
          <w:rFonts w:ascii="Arial" w:eastAsia="Arial" w:hAnsi="Arial" w:cs="Arial"/>
          <w:sz w:val="18"/>
        </w:rPr>
      </w:pPr>
      <w:r w:rsidRPr="007D4280">
        <w:rPr>
          <w:rFonts w:ascii="Arial" w:hAnsi="Arial"/>
          <w:b/>
          <w:sz w:val="18"/>
        </w:rPr>
        <w:t>(LE « COMITÉ ») DU CONSEIL D’ADMINISTRATION DES</w:t>
      </w:r>
    </w:p>
    <w:p w14:paraId="77D48913" w14:textId="77777777" w:rsidR="00695197" w:rsidRPr="007D4280" w:rsidRDefault="00152032" w:rsidP="00E72EC2">
      <w:pPr>
        <w:spacing w:after="1" w:line="300" w:lineRule="auto"/>
        <w:jc w:val="center"/>
        <w:rPr>
          <w:rFonts w:ascii="Arial" w:eastAsia="Arial" w:hAnsi="Arial" w:cs="Arial"/>
          <w:b/>
          <w:sz w:val="18"/>
        </w:rPr>
      </w:pPr>
      <w:r w:rsidRPr="007D4280">
        <w:rPr>
          <w:rFonts w:ascii="Arial" w:hAnsi="Arial"/>
          <w:b/>
          <w:sz w:val="18"/>
        </w:rPr>
        <w:t>ALIMENTS MAPLE LEAF INC. (LA « SOCIÉTÉ »)</w:t>
      </w:r>
    </w:p>
    <w:p w14:paraId="72D65BE6" w14:textId="6A83904B" w:rsidR="00996698" w:rsidRPr="007D4280" w:rsidRDefault="00152032" w:rsidP="00E72EC2">
      <w:pPr>
        <w:spacing w:after="120" w:line="300" w:lineRule="auto"/>
        <w:rPr>
          <w:rFonts w:ascii="Arial" w:eastAsia="Arial" w:hAnsi="Arial" w:cs="Arial"/>
          <w:b/>
          <w:bCs/>
          <w:sz w:val="18"/>
        </w:rPr>
      </w:pPr>
      <w:r w:rsidRPr="007D4280">
        <w:rPr>
          <w:rFonts w:ascii="Arial" w:hAnsi="Arial"/>
          <w:sz w:val="18"/>
        </w:rPr>
        <w:br/>
      </w:r>
    </w:p>
    <w:p w14:paraId="2F9B84C8" w14:textId="547DA2AB" w:rsidR="00695197" w:rsidRPr="007D4280" w:rsidRDefault="00152032" w:rsidP="00E72EC2">
      <w:pPr>
        <w:spacing w:after="120" w:line="300" w:lineRule="auto"/>
        <w:rPr>
          <w:rFonts w:ascii="Arial" w:eastAsia="Arial" w:hAnsi="Arial" w:cs="Arial"/>
          <w:b/>
          <w:bCs/>
          <w:sz w:val="18"/>
        </w:rPr>
      </w:pPr>
      <w:r w:rsidRPr="007D4280">
        <w:rPr>
          <w:rFonts w:ascii="Arial" w:hAnsi="Arial"/>
          <w:b/>
          <w:sz w:val="18"/>
        </w:rPr>
        <w:t>Nature et champ d’activité du comité</w:t>
      </w:r>
    </w:p>
    <w:p w14:paraId="7C41AF44"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 comité d’audit est un comité permanent constitué par le conseil d’administration afin d’assurer le respect des obligations applicables aux sociétés ouvertes en matière de comités d’audit et d’appuyer le conseil d’administration dans l’exercice de ses fonctions de surveillance à l’égard des questions suivantes : i) les méthodes et pratiques comptables, ii) l’intégrité des états financiers de la Société, iii) la conformité aux exigences légales et réglementaires, iv) les compétences, l’indépendance et le rendement et l’indépendance des auditeurs externes et v) le rendement de la fonction d’audit interne.</w:t>
      </w:r>
    </w:p>
    <w:p w14:paraId="7EEDAFE5"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 président et les membres du comité sont des membres du conseil d’administration, nommés pour exercer une surveillance générale des activités liées à la communication de l’information financière, aux risques et aux contrôles financiers de la Société; ils ne sont pas responsables de l’exploitation quotidienne ou de l’exécution de ces activités.</w:t>
      </w:r>
    </w:p>
    <w:p w14:paraId="7F81EF7B"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La direction de la Société est responsable de la préparation, de la présentation et de l’intégrité des états financiers ainsi que du maintien des principes et politiques de déclaration financière appropriés, des systèmes d’évaluation des risques et des contrôles et procédures internes conçus pour fournir l’assurance raisonnable que les actifs sont protégés et que les transactions sont autorisées, enregistrées et déclarées correctement. Il incombe aussi à la direction d’assurer l’efficacité des opérations, l’exactitude de l’information financière et le respect des normes comptables et des lois et règlements applicables.</w:t>
      </w:r>
    </w:p>
    <w:p w14:paraId="36CD354D"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L’auditeur interne est responsable du contrôle de la pertinence et de l’efficacité du système de contrôles internes, et de la présentation d’un rapport à ce sujet.</w:t>
      </w:r>
    </w:p>
    <w:p w14:paraId="798288EF"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Les auditeurs externes sont responsables de la planification et de l’exécution de l’audit des états financiers consolidés annuels de la Société conformément aux normes d’audit généralement reconnues afin de fournir l’assurance raisonnable que les états financiers sont conformes aux principes comptables généralement reconnus, entre autres choses. Les auditeurs externes relèvent du comité et du conseil d’administration, qui représentent les actionnaires de la Société; ils reçoivent leurs instructions du comité et lui rendent directement compte.</w:t>
      </w:r>
    </w:p>
    <w:p w14:paraId="1FCC4159"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À l’exception de ce qui suit, le comité n’a pas de pouvoirs décisionnels; il présente plutôt ses conclusions et recommandations au conseil d’administration, qui les examine et prend les décisions.</w:t>
      </w:r>
    </w:p>
    <w:p w14:paraId="79F3A502" w14:textId="77777777" w:rsidR="00695197" w:rsidRPr="007D4280" w:rsidRDefault="00152032" w:rsidP="00E72EC2">
      <w:pPr>
        <w:spacing w:after="120" w:line="300" w:lineRule="auto"/>
        <w:rPr>
          <w:rFonts w:ascii="Arial" w:eastAsia="Arial" w:hAnsi="Arial" w:cs="Arial"/>
          <w:b/>
          <w:bCs/>
          <w:sz w:val="18"/>
        </w:rPr>
      </w:pPr>
      <w:r w:rsidRPr="007D4280">
        <w:rPr>
          <w:rFonts w:ascii="Arial" w:hAnsi="Arial"/>
          <w:b/>
          <w:sz w:val="18"/>
        </w:rPr>
        <w:t>Procédures, pouvoirs et obligations</w:t>
      </w:r>
    </w:p>
    <w:p w14:paraId="130E27FA"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En plus des procédures et des pouvoirs énoncés dans la politique sur la composition, la nomination des membres et les pratiques de chaque comité du conseil d’administration des Aliments Maple Leaf, telle que modifiée, ou dans toute résolution du conseil d’administration concernant le comité, les procédures, pouvoirs et obligations du comité sont les suivants :</w:t>
      </w:r>
    </w:p>
    <w:p w14:paraId="21206B2D" w14:textId="77777777" w:rsidR="00695197" w:rsidRPr="007D4280" w:rsidRDefault="00152032" w:rsidP="001B3F05">
      <w:pPr>
        <w:numPr>
          <w:ilvl w:val="0"/>
          <w:numId w:val="8"/>
        </w:numPr>
        <w:spacing w:after="120" w:line="300" w:lineRule="auto"/>
        <w:ind w:left="360"/>
        <w:rPr>
          <w:rFonts w:ascii="Arial" w:eastAsia="Arial" w:hAnsi="Arial" w:cs="Arial"/>
          <w:sz w:val="18"/>
        </w:rPr>
      </w:pPr>
      <w:r w:rsidRPr="007D4280">
        <w:rPr>
          <w:rFonts w:ascii="Arial" w:hAnsi="Arial"/>
          <w:i/>
          <w:sz w:val="18"/>
        </w:rPr>
        <w:t>Composition</w:t>
      </w:r>
      <w:r w:rsidRPr="007D4280">
        <w:rPr>
          <w:rFonts w:ascii="Arial" w:hAnsi="Arial"/>
          <w:sz w:val="18"/>
        </w:rPr>
        <w:t> – Le comité doit être composé d’au moins trois membres. Chaque membre du comité doit être « indépendant » et « non lié » selon les définitions fournies de temps à autre dans les exigences ou lignes directrices relatives aux comités d’audit régies par les lois applicables sur les valeurs mobilières et les règles des Bourses où les titres de la Société sont inscrits.</w:t>
      </w:r>
    </w:p>
    <w:p w14:paraId="73BC7084" w14:textId="77777777" w:rsidR="00695197" w:rsidRPr="007D4280" w:rsidRDefault="00152032" w:rsidP="00E72EC2">
      <w:pPr>
        <w:spacing w:after="120" w:line="300" w:lineRule="auto"/>
        <w:ind w:left="360"/>
        <w:rPr>
          <w:rFonts w:ascii="Arial" w:eastAsia="Arial" w:hAnsi="Arial" w:cs="Arial"/>
          <w:sz w:val="18"/>
        </w:rPr>
      </w:pPr>
      <w:r w:rsidRPr="007D4280">
        <w:rPr>
          <w:rFonts w:ascii="Arial" w:hAnsi="Arial"/>
          <w:sz w:val="18"/>
        </w:rPr>
        <w:t>Chaque membre du comité doit posséder des « compétences financières », sous réserve des dispenses prévues par les lois applicables sur les valeurs mobilières, selon les définitions fournies de temps à autre dans les exigences ou lignes directrices relatives aux comités d’audit régies par les lois applicables sur les valeurs mobilières et les règles des Bourses où les titres de la Société sont inscrits ou, en l’absence de telles définitions, selon la façon dont le conseil d’administration interprète le terme dans le cadre de son appréciation commerciale.</w:t>
      </w:r>
    </w:p>
    <w:p w14:paraId="1F35699F" w14:textId="77777777" w:rsidR="00695197" w:rsidRPr="007D4280" w:rsidRDefault="00152032" w:rsidP="001B3F05">
      <w:pPr>
        <w:numPr>
          <w:ilvl w:val="0"/>
          <w:numId w:val="8"/>
        </w:numPr>
        <w:spacing w:after="120" w:line="300" w:lineRule="auto"/>
        <w:ind w:left="360"/>
        <w:rPr>
          <w:rFonts w:ascii="Arial" w:eastAsia="Arial" w:hAnsi="Arial" w:cs="Arial"/>
          <w:sz w:val="18"/>
        </w:rPr>
      </w:pPr>
      <w:r w:rsidRPr="007D4280">
        <w:rPr>
          <w:rFonts w:ascii="Arial" w:hAnsi="Arial"/>
          <w:i/>
          <w:sz w:val="18"/>
        </w:rPr>
        <w:t>Réunions à huis clos</w:t>
      </w:r>
      <w:r w:rsidRPr="007D4280">
        <w:rPr>
          <w:rFonts w:ascii="Arial" w:hAnsi="Arial"/>
          <w:sz w:val="18"/>
        </w:rPr>
        <w:t> – Au moins une fois l’an, le comité tiendra une réunion à huis clos avec le chef de la fonction d’audit interne et les auditeurs externes pour discuter de toute question qui, selon le comité et chacun de ces groupes, doit être examinée en privé, et les personnes susmentionnées auront libre accès au comité pour porter des questions à son attention.</w:t>
      </w:r>
    </w:p>
    <w:p w14:paraId="5F21C15E" w14:textId="77777777" w:rsidR="00695197" w:rsidRPr="007D4280" w:rsidRDefault="00152032" w:rsidP="001B3F05">
      <w:pPr>
        <w:numPr>
          <w:ilvl w:val="0"/>
          <w:numId w:val="8"/>
        </w:numPr>
        <w:spacing w:after="120" w:line="300" w:lineRule="auto"/>
        <w:ind w:left="360"/>
        <w:rPr>
          <w:rFonts w:ascii="Arial" w:eastAsia="Arial" w:hAnsi="Arial" w:cs="Arial"/>
          <w:sz w:val="18"/>
        </w:rPr>
      </w:pPr>
      <w:r w:rsidRPr="007D4280">
        <w:rPr>
          <w:rFonts w:ascii="Arial" w:hAnsi="Arial"/>
          <w:i/>
          <w:sz w:val="18"/>
        </w:rPr>
        <w:t>Aide professionnelle</w:t>
      </w:r>
      <w:r w:rsidRPr="007D4280">
        <w:rPr>
          <w:rFonts w:ascii="Arial" w:hAnsi="Arial"/>
          <w:sz w:val="18"/>
        </w:rPr>
        <w:t> – Le comité pourrait demander aux auditeurs externes et internes d’effectuer des examens ou des audits supplémentaires lorsqu’il le juge souhaitable. De plus, le comité peut retenir les services de conseillers spéciaux en matière d’affaires juridiques, de comptabilité, de finances ou autres et déterminer leur rémunération comme le comité le juge nécessaire pour s’acquitter de ses responsabilités aux frais de la Société. S’il retient de tels services, il doit en informer le président du comité de gouvernance d’entreprise.</w:t>
      </w:r>
    </w:p>
    <w:p w14:paraId="2D040D5D" w14:textId="77777777" w:rsidR="00695197" w:rsidRPr="007D4280" w:rsidRDefault="00152032" w:rsidP="001B3F05">
      <w:pPr>
        <w:numPr>
          <w:ilvl w:val="0"/>
          <w:numId w:val="8"/>
        </w:numPr>
        <w:spacing w:after="120" w:line="300" w:lineRule="auto"/>
        <w:ind w:left="360"/>
        <w:rPr>
          <w:rFonts w:ascii="Arial" w:eastAsia="Arial" w:hAnsi="Arial" w:cs="Arial"/>
          <w:sz w:val="18"/>
        </w:rPr>
      </w:pPr>
      <w:r w:rsidRPr="007D4280">
        <w:rPr>
          <w:rFonts w:ascii="Arial" w:hAnsi="Arial"/>
          <w:i/>
          <w:sz w:val="18"/>
        </w:rPr>
        <w:t>Confiance</w:t>
      </w:r>
      <w:r w:rsidRPr="007D4280">
        <w:rPr>
          <w:rFonts w:ascii="Arial" w:hAnsi="Arial"/>
          <w:sz w:val="18"/>
        </w:rPr>
        <w:t> – Sauf indication ou information contraire qui doit être portée sans délai à l’attention du conseil d’administration, chaque membre du comité doit pouvoir compter sur i) l’intégrité des personnes ou des organisations à l’intérieur comme à l’extérieur de la Société qui lui fournissent des renseignements, ii) l’exactitude des renseignements, financiers et autres, fournis au comité par ces personnes ou organisations et iii) les déclarations de la direction et des auditeurs externes quant aux services non liés à l’audit fournis à la Société et à ses filiales par les auditeurs externes.</w:t>
      </w:r>
    </w:p>
    <w:p w14:paraId="0F8176F0" w14:textId="77777777" w:rsidR="00695197" w:rsidRPr="007D4280" w:rsidRDefault="00152032" w:rsidP="001B3F05">
      <w:pPr>
        <w:numPr>
          <w:ilvl w:val="0"/>
          <w:numId w:val="8"/>
        </w:numPr>
        <w:spacing w:after="120" w:line="300" w:lineRule="auto"/>
        <w:ind w:left="360"/>
        <w:rPr>
          <w:rFonts w:ascii="Arial" w:eastAsia="Arial" w:hAnsi="Arial" w:cs="Arial"/>
          <w:sz w:val="18"/>
        </w:rPr>
      </w:pPr>
      <w:r w:rsidRPr="007D4280">
        <w:rPr>
          <w:rFonts w:ascii="Arial" w:hAnsi="Arial"/>
          <w:i/>
          <w:sz w:val="18"/>
        </w:rPr>
        <w:t>Rapports au conseil d’administration</w:t>
      </w:r>
      <w:r w:rsidRPr="007D4280">
        <w:rPr>
          <w:rFonts w:ascii="Arial" w:hAnsi="Arial"/>
          <w:sz w:val="18"/>
        </w:rPr>
        <w:t> – Après ses réunions, le comité, par l’intermédiaire de son président, doit faire rapport au conseil d’administration sur les questions examinées, ses activités et le respect de sa charte.</w:t>
      </w:r>
    </w:p>
    <w:p w14:paraId="74BC99F8" w14:textId="77777777" w:rsidR="00695197" w:rsidRPr="007D4280" w:rsidRDefault="00152032" w:rsidP="00E72EC2">
      <w:pPr>
        <w:spacing w:after="120" w:line="300" w:lineRule="auto"/>
        <w:rPr>
          <w:rFonts w:ascii="Arial" w:eastAsia="Arial" w:hAnsi="Arial" w:cs="Arial"/>
          <w:sz w:val="18"/>
        </w:rPr>
      </w:pPr>
      <w:r w:rsidRPr="007D4280">
        <w:rPr>
          <w:rFonts w:ascii="Arial" w:hAnsi="Arial"/>
          <w:sz w:val="18"/>
        </w:rPr>
        <w:t>Le comité doit :</w:t>
      </w:r>
    </w:p>
    <w:p w14:paraId="026BB58F"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Contrôle interne</w:t>
      </w:r>
      <w:r w:rsidRPr="007D4280">
        <w:rPr>
          <w:rFonts w:ascii="Arial" w:hAnsi="Arial"/>
          <w:sz w:val="18"/>
        </w:rPr>
        <w:t> – Examiner, aborder avec la direction et les auditeurs externes et internes comme il le juge nécessaire et surveiller les questions liées à ce qui suit :</w:t>
      </w:r>
    </w:p>
    <w:p w14:paraId="7920E92A" w14:textId="77777777" w:rsidR="00695197" w:rsidRPr="007D4280" w:rsidRDefault="00152032" w:rsidP="001B3F05">
      <w:pPr>
        <w:numPr>
          <w:ilvl w:val="1"/>
          <w:numId w:val="11"/>
        </w:numPr>
        <w:spacing w:after="120" w:line="300" w:lineRule="auto"/>
        <w:rPr>
          <w:rFonts w:ascii="Arial" w:eastAsia="Arial" w:hAnsi="Arial" w:cs="Arial"/>
          <w:sz w:val="18"/>
        </w:rPr>
      </w:pPr>
      <w:r w:rsidRPr="007D4280">
        <w:rPr>
          <w:rFonts w:ascii="Arial" w:hAnsi="Arial"/>
          <w:sz w:val="18"/>
        </w:rPr>
        <w:t>Le caractère adéquat et l’efficacité du système de contrôle interne et financier ainsi que les recommandations de la direction et des auditeurs externes et internes pour l’amélioration des méthodes comptables et du contrôle interne;</w:t>
      </w:r>
    </w:p>
    <w:p w14:paraId="7E9DF5A1" w14:textId="77777777" w:rsidR="00695197" w:rsidRPr="007D4280" w:rsidRDefault="00152032" w:rsidP="001B3F05">
      <w:pPr>
        <w:numPr>
          <w:ilvl w:val="1"/>
          <w:numId w:val="11"/>
        </w:numPr>
        <w:spacing w:after="120" w:line="300" w:lineRule="auto"/>
        <w:rPr>
          <w:rFonts w:ascii="Arial" w:eastAsia="Arial" w:hAnsi="Arial" w:cs="Arial"/>
          <w:sz w:val="18"/>
        </w:rPr>
      </w:pPr>
      <w:r w:rsidRPr="007D4280">
        <w:rPr>
          <w:rFonts w:ascii="Arial" w:hAnsi="Arial"/>
          <w:sz w:val="18"/>
        </w:rPr>
        <w:t>Les lacunes importantes dans l’environnement de contrôle interne, y compris le contrôle et la sécurité du système informatique;</w:t>
      </w:r>
    </w:p>
    <w:p w14:paraId="0CE51EB2" w14:textId="77777777" w:rsidR="00695197" w:rsidRPr="007D4280" w:rsidRDefault="00152032" w:rsidP="001B3F05">
      <w:pPr>
        <w:numPr>
          <w:ilvl w:val="1"/>
          <w:numId w:val="11"/>
        </w:numPr>
        <w:spacing w:after="120" w:line="300" w:lineRule="auto"/>
        <w:rPr>
          <w:rFonts w:ascii="Arial" w:eastAsia="Arial" w:hAnsi="Arial" w:cs="Arial"/>
          <w:sz w:val="18"/>
        </w:rPr>
      </w:pPr>
      <w:r w:rsidRPr="007D4280">
        <w:rPr>
          <w:rFonts w:ascii="Arial" w:hAnsi="Arial"/>
          <w:sz w:val="18"/>
        </w:rPr>
        <w:t>Le respect par la direction des processus, des procédures et des mesures de contrôle interne.</w:t>
      </w:r>
    </w:p>
    <w:p w14:paraId="4CD75A38"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Examens des organismes de réglementation</w:t>
      </w:r>
      <w:r w:rsidRPr="007D4280">
        <w:rPr>
          <w:rFonts w:ascii="Arial" w:hAnsi="Arial"/>
          <w:sz w:val="18"/>
        </w:rPr>
        <w:t> – Passer en revue les résultats des examens effectués par les organismes de réglementation concernant les affaires financières de la Société et faire des recommandations au conseil d’administration.</w:t>
      </w:r>
    </w:p>
    <w:p w14:paraId="7CAD0216"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Nomination des auditeurs externes</w:t>
      </w:r>
      <w:r w:rsidRPr="007D4280">
        <w:rPr>
          <w:rFonts w:ascii="Arial" w:hAnsi="Arial"/>
          <w:sz w:val="18"/>
        </w:rPr>
        <w:t> – Concernant la nomination et la surveillance des auditeurs externes :</w:t>
      </w:r>
    </w:p>
    <w:p w14:paraId="14360DD7" w14:textId="77777777" w:rsidR="00695197" w:rsidRPr="007D4280" w:rsidRDefault="00152032" w:rsidP="001B3F05">
      <w:pPr>
        <w:numPr>
          <w:ilvl w:val="1"/>
          <w:numId w:val="12"/>
        </w:numPr>
        <w:spacing w:after="120" w:line="300" w:lineRule="auto"/>
        <w:rPr>
          <w:rFonts w:ascii="Arial" w:eastAsia="Arial" w:hAnsi="Arial" w:cs="Arial"/>
          <w:sz w:val="18"/>
        </w:rPr>
      </w:pPr>
      <w:r w:rsidRPr="007D4280">
        <w:rPr>
          <w:rFonts w:ascii="Arial" w:hAnsi="Arial"/>
          <w:sz w:val="18"/>
        </w:rPr>
        <w:t>Faire des recommandations au conseil d’administration dans le but de préparer ou d’émettre un rapport d’audit ou d’effectuer d’autres audits, et examiner ou confirmer les services de la Société qui figureront dans la circulaire de sollicitation de procurations aux fins de nomination ou de renouvellement des mandats par les actionnaires;</w:t>
      </w:r>
    </w:p>
    <w:p w14:paraId="78BDB0B7" w14:textId="77777777" w:rsidR="00695197" w:rsidRPr="007D4280" w:rsidRDefault="00152032" w:rsidP="001B3F05">
      <w:pPr>
        <w:numPr>
          <w:ilvl w:val="1"/>
          <w:numId w:val="12"/>
        </w:numPr>
        <w:spacing w:after="120" w:line="300" w:lineRule="auto"/>
        <w:rPr>
          <w:rFonts w:ascii="Arial" w:eastAsia="Arial" w:hAnsi="Arial" w:cs="Arial"/>
          <w:sz w:val="18"/>
        </w:rPr>
      </w:pPr>
      <w:r w:rsidRPr="007D4280">
        <w:rPr>
          <w:rFonts w:ascii="Arial" w:hAnsi="Arial"/>
          <w:sz w:val="18"/>
        </w:rPr>
        <w:t>Faire une recommandation au conseil d’administration quant à l’approbation de la rémunération des auditeurs externes;</w:t>
      </w:r>
    </w:p>
    <w:p w14:paraId="203164DA" w14:textId="77777777" w:rsidR="00695197" w:rsidRPr="007D4280" w:rsidRDefault="00152032" w:rsidP="001B3F05">
      <w:pPr>
        <w:numPr>
          <w:ilvl w:val="1"/>
          <w:numId w:val="12"/>
        </w:numPr>
        <w:spacing w:after="120" w:line="300" w:lineRule="auto"/>
        <w:rPr>
          <w:rFonts w:ascii="Arial" w:eastAsia="Arial" w:hAnsi="Arial" w:cs="Arial"/>
          <w:sz w:val="18"/>
        </w:rPr>
      </w:pPr>
      <w:r w:rsidRPr="007D4280">
        <w:rPr>
          <w:rFonts w:ascii="Arial" w:hAnsi="Arial"/>
          <w:sz w:val="18"/>
        </w:rPr>
        <w:t>Examiner, évaluer et approuver les dispositions de la mission, l’exécution et la portée de l’audit annuel et l’approche adoptée par les auditeurs.</w:t>
      </w:r>
    </w:p>
    <w:p w14:paraId="21F6C927"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Indépendance des auditeurs externes</w:t>
      </w:r>
      <w:r w:rsidRPr="007D4280">
        <w:rPr>
          <w:rFonts w:ascii="Arial" w:hAnsi="Arial"/>
          <w:sz w:val="18"/>
        </w:rPr>
        <w:t> – Évaluer l’indépendance des auditeurs externes et faire des recommandations au conseil d’administration, lorsque le comité le juge nécessaire, en vue de protéger et d’accroître cette indépendance. En lien avec cet examen, le comité :</w:t>
      </w:r>
    </w:p>
    <w:p w14:paraId="138F9B5D" w14:textId="77777777" w:rsidR="00695197" w:rsidRPr="007D4280" w:rsidRDefault="00152032" w:rsidP="001B3F05">
      <w:pPr>
        <w:numPr>
          <w:ilvl w:val="1"/>
          <w:numId w:val="13"/>
        </w:numPr>
        <w:spacing w:after="120" w:line="300" w:lineRule="auto"/>
        <w:rPr>
          <w:rFonts w:ascii="Arial" w:eastAsia="Arial" w:hAnsi="Arial" w:cs="Arial"/>
          <w:sz w:val="18"/>
        </w:rPr>
      </w:pPr>
      <w:proofErr w:type="gramStart"/>
      <w:r w:rsidRPr="007D4280">
        <w:rPr>
          <w:rFonts w:ascii="Arial" w:hAnsi="Arial"/>
          <w:sz w:val="18"/>
        </w:rPr>
        <w:t>doit</w:t>
      </w:r>
      <w:proofErr w:type="gramEnd"/>
      <w:r w:rsidRPr="007D4280">
        <w:rPr>
          <w:rFonts w:ascii="Arial" w:hAnsi="Arial"/>
          <w:sz w:val="18"/>
        </w:rPr>
        <w:t xml:space="preserve"> maintenir activement un dialogue avec les auditeurs externes sur les relations ou services susceptibles de nuire à l’objectivité et à l’indépendance des auditeurs externes;</w:t>
      </w:r>
    </w:p>
    <w:p w14:paraId="0747E920" w14:textId="77777777" w:rsidR="00695197" w:rsidRPr="007D4280" w:rsidRDefault="00152032" w:rsidP="001B3F05">
      <w:pPr>
        <w:numPr>
          <w:ilvl w:val="1"/>
          <w:numId w:val="13"/>
        </w:numPr>
        <w:spacing w:after="120" w:line="300" w:lineRule="auto"/>
        <w:rPr>
          <w:rFonts w:ascii="Arial" w:eastAsia="Arial" w:hAnsi="Arial" w:cs="Arial"/>
          <w:sz w:val="18"/>
        </w:rPr>
      </w:pPr>
      <w:proofErr w:type="gramStart"/>
      <w:r w:rsidRPr="007D4280">
        <w:rPr>
          <w:rFonts w:ascii="Arial" w:hAnsi="Arial"/>
          <w:sz w:val="18"/>
        </w:rPr>
        <w:t>doit</w:t>
      </w:r>
      <w:proofErr w:type="gramEnd"/>
      <w:r w:rsidRPr="007D4280">
        <w:rPr>
          <w:rFonts w:ascii="Arial" w:hAnsi="Arial"/>
          <w:sz w:val="18"/>
        </w:rPr>
        <w:t xml:space="preserve"> demander aux auditeurs externes de lui fournir périodiquement, au moins tous les ans, une liste officielle par écrit de toutes les relations entre la Société, y compris ses filiales, et les auditeurs externes, y compris leurs associés;</w:t>
      </w:r>
    </w:p>
    <w:p w14:paraId="6CC715C9" w14:textId="77777777" w:rsidR="00695197" w:rsidRPr="007D4280" w:rsidRDefault="00152032" w:rsidP="001B3F05">
      <w:pPr>
        <w:numPr>
          <w:ilvl w:val="1"/>
          <w:numId w:val="13"/>
        </w:numPr>
        <w:spacing w:after="120" w:line="300" w:lineRule="auto"/>
        <w:rPr>
          <w:rFonts w:ascii="Arial" w:eastAsia="Arial" w:hAnsi="Arial" w:cs="Arial"/>
          <w:sz w:val="18"/>
        </w:rPr>
      </w:pPr>
      <w:proofErr w:type="gramStart"/>
      <w:r w:rsidRPr="007D4280">
        <w:rPr>
          <w:rFonts w:ascii="Arial" w:hAnsi="Arial"/>
          <w:sz w:val="18"/>
        </w:rPr>
        <w:t>doit</w:t>
      </w:r>
      <w:proofErr w:type="gramEnd"/>
      <w:r w:rsidRPr="007D4280">
        <w:rPr>
          <w:rFonts w:ascii="Arial" w:hAnsi="Arial"/>
          <w:sz w:val="18"/>
        </w:rPr>
        <w:t xml:space="preserve"> examiner et approuver des politiques claires sur l’embauche par la Société d’employés actuels ou d’anciens employés des auditeurs externes actuels ou précédents;</w:t>
      </w:r>
    </w:p>
    <w:p w14:paraId="2C9BC3D2" w14:textId="77777777" w:rsidR="00695197" w:rsidRPr="007D4280" w:rsidRDefault="00152032" w:rsidP="001B3F05">
      <w:pPr>
        <w:numPr>
          <w:ilvl w:val="1"/>
          <w:numId w:val="13"/>
        </w:numPr>
        <w:spacing w:after="120" w:line="300" w:lineRule="auto"/>
        <w:rPr>
          <w:rFonts w:ascii="Arial" w:eastAsia="Arial" w:hAnsi="Arial" w:cs="Arial"/>
          <w:sz w:val="18"/>
        </w:rPr>
      </w:pPr>
      <w:proofErr w:type="gramStart"/>
      <w:r w:rsidRPr="007D4280">
        <w:rPr>
          <w:rFonts w:ascii="Arial" w:hAnsi="Arial"/>
          <w:sz w:val="18"/>
        </w:rPr>
        <w:t>peut</w:t>
      </w:r>
      <w:proofErr w:type="gramEnd"/>
      <w:r w:rsidRPr="007D4280">
        <w:rPr>
          <w:rFonts w:ascii="Arial" w:hAnsi="Arial"/>
          <w:sz w:val="18"/>
        </w:rPr>
        <w:t xml:space="preserve"> approuver des politiques et procédures concernant l’approbation préalable par un membre du comité de tout service non lié à l’audit fourni par les auditeurs externes qu’il est par ailleurs permis aux auditeurs externes de fournir. Les politiques et procédures doivent inclure une description raisonnablement détaillée des services visés, et l’approbation préalable du service non lié à l’audit par un membre fondé de pouvoir du comité doit être présentée au comité plénier à sa prochaine réunion. Pour plus de certitude, tous les services non liés à l’audit fournis à la Société ou à ses filiales par les auditeurs externes ou leurs associés ne sont pas couverts par les politiques et procédures d’approbation préalable approuvées par le comité et doivent être préalablement autorisés par ce dernier;</w:t>
      </w:r>
    </w:p>
    <w:p w14:paraId="6EB4163E" w14:textId="77777777" w:rsidR="00695197" w:rsidRPr="007D4280" w:rsidRDefault="00152032" w:rsidP="001B3F05">
      <w:pPr>
        <w:numPr>
          <w:ilvl w:val="1"/>
          <w:numId w:val="13"/>
        </w:numPr>
        <w:spacing w:after="120" w:line="300" w:lineRule="auto"/>
        <w:rPr>
          <w:rFonts w:ascii="Arial" w:eastAsia="Arial" w:hAnsi="Arial" w:cs="Arial"/>
          <w:sz w:val="18"/>
        </w:rPr>
      </w:pPr>
      <w:proofErr w:type="gramStart"/>
      <w:r w:rsidRPr="007D4280">
        <w:rPr>
          <w:rFonts w:ascii="Arial" w:hAnsi="Arial"/>
          <w:sz w:val="18"/>
        </w:rPr>
        <w:t>doit</w:t>
      </w:r>
      <w:proofErr w:type="gramEnd"/>
      <w:r w:rsidRPr="007D4280">
        <w:rPr>
          <w:rFonts w:ascii="Arial" w:hAnsi="Arial"/>
          <w:sz w:val="18"/>
        </w:rPr>
        <w:t xml:space="preserve"> examiner et approuver la divulgation des honoraires versés aux auditeurs externes au cours de l’exercice, par catégorie, dans la notice annuelle et la circulaire de la direction sollicitant des procurations.</w:t>
      </w:r>
    </w:p>
    <w:p w14:paraId="0DC64941"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Auditeurs internes</w:t>
      </w:r>
      <w:r w:rsidRPr="007D4280">
        <w:rPr>
          <w:rFonts w:ascii="Arial" w:hAnsi="Arial"/>
          <w:sz w:val="18"/>
        </w:rPr>
        <w:t> – Évaluer la structure organisationnelle, l’indépendance et les compétences du service d’audit interne et de ses ressources, et examiner les plans d’audit interne et leur mise en œuvre.</w:t>
      </w:r>
    </w:p>
    <w:p w14:paraId="0AF4F87E"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Fonction d’audit interne</w:t>
      </w:r>
      <w:r w:rsidRPr="007D4280">
        <w:rPr>
          <w:rFonts w:ascii="Arial" w:hAnsi="Arial"/>
          <w:sz w:val="18"/>
        </w:rPr>
        <w:t> – Superviser et surveiller la fonction d’audit interne, ce qui comprend :</w:t>
      </w:r>
    </w:p>
    <w:p w14:paraId="72ED9DE3" w14:textId="77777777" w:rsidR="00695197" w:rsidRPr="007D4280" w:rsidRDefault="00152032" w:rsidP="001B3F05">
      <w:pPr>
        <w:numPr>
          <w:ilvl w:val="1"/>
          <w:numId w:val="14"/>
        </w:numPr>
        <w:spacing w:after="120" w:line="300" w:lineRule="auto"/>
        <w:rPr>
          <w:rFonts w:ascii="Arial" w:eastAsia="Arial" w:hAnsi="Arial" w:cs="Arial"/>
          <w:sz w:val="18"/>
        </w:rPr>
      </w:pPr>
      <w:proofErr w:type="gramStart"/>
      <w:r w:rsidRPr="007D4280">
        <w:rPr>
          <w:rFonts w:ascii="Arial" w:hAnsi="Arial"/>
          <w:sz w:val="18"/>
        </w:rPr>
        <w:t>rencontrer</w:t>
      </w:r>
      <w:proofErr w:type="gramEnd"/>
      <w:r w:rsidRPr="007D4280">
        <w:rPr>
          <w:rFonts w:ascii="Arial" w:hAnsi="Arial"/>
          <w:sz w:val="18"/>
        </w:rPr>
        <w:t xml:space="preserve"> périodiquement les auditeurs internes pour discuter des progrès de leurs travaux, des conclusions importantes tirées de leurs audits, des difficultés ou des conflits qui surviennent avec la direction et de la réponse de cette dernière pour corriger les lacunes décelées lors de l’audit;</w:t>
      </w:r>
    </w:p>
    <w:p w14:paraId="20CEFC70" w14:textId="77777777" w:rsidR="00695197" w:rsidRPr="007D4280" w:rsidRDefault="00152032" w:rsidP="001B3F05">
      <w:pPr>
        <w:numPr>
          <w:ilvl w:val="1"/>
          <w:numId w:val="14"/>
        </w:numPr>
        <w:spacing w:after="120" w:line="300" w:lineRule="auto"/>
        <w:rPr>
          <w:rFonts w:ascii="Arial" w:eastAsia="Arial" w:hAnsi="Arial" w:cs="Arial"/>
          <w:sz w:val="18"/>
        </w:rPr>
      </w:pPr>
      <w:proofErr w:type="gramStart"/>
      <w:r w:rsidRPr="007D4280">
        <w:rPr>
          <w:rFonts w:ascii="Arial" w:hAnsi="Arial"/>
          <w:sz w:val="18"/>
        </w:rPr>
        <w:t>passer</w:t>
      </w:r>
      <w:proofErr w:type="gramEnd"/>
      <w:r w:rsidRPr="007D4280">
        <w:rPr>
          <w:rFonts w:ascii="Arial" w:hAnsi="Arial"/>
          <w:sz w:val="18"/>
        </w:rPr>
        <w:t xml:space="preserve"> en revue les sommaires des rapports à la direction préparés par les auditeurs internes et rendre disponible la version intégrale de ces rapports, communiquer au besoin avec les auditeurs internes concernant leurs rapports et recommandations, et discuter avec eux du degré de mise en œuvre des recommandations, de la réponse de la direction à leurs rapports et d’autres questions que les auditeurs internes portent à l’attention du comité.</w:t>
      </w:r>
    </w:p>
    <w:p w14:paraId="3FB7089D"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Audits externes</w:t>
      </w:r>
      <w:r w:rsidRPr="007D4280">
        <w:rPr>
          <w:rFonts w:ascii="Arial" w:hAnsi="Arial"/>
          <w:sz w:val="18"/>
        </w:rPr>
        <w:t> – Superviser et surveiller les audits externes, ce qui comprend :</w:t>
      </w:r>
    </w:p>
    <w:p w14:paraId="6BD24427" w14:textId="77777777" w:rsidR="00695197" w:rsidRPr="007D4280" w:rsidRDefault="00152032" w:rsidP="001B3F05">
      <w:pPr>
        <w:numPr>
          <w:ilvl w:val="1"/>
          <w:numId w:val="15"/>
        </w:numPr>
        <w:spacing w:after="120" w:line="300" w:lineRule="auto"/>
        <w:rPr>
          <w:rFonts w:ascii="Arial" w:eastAsia="Arial" w:hAnsi="Arial" w:cs="Arial"/>
          <w:sz w:val="18"/>
        </w:rPr>
      </w:pPr>
      <w:r w:rsidRPr="007D4280">
        <w:rPr>
          <w:rFonts w:ascii="Arial" w:hAnsi="Arial"/>
          <w:sz w:val="18"/>
        </w:rPr>
        <w:t>avec les auditeurs externes, les auditeurs internes et la direction, examiner la fonction d’audit en général, les objectifs, le recrutement, les emplacements, la coordination, la fiabilité de la direction et de l’audit interne, l’approche générale d’audit et la portée des audits des états financiers proposés, l’ensemble des plans d’audit, les responsabilités de la direction, des auditeurs internes et des auditeurs externes, la procédure d’audit à suivre et le calendrier ainsi que le budget estimé des audits;</w:t>
      </w:r>
    </w:p>
    <w:p w14:paraId="7C8D7331" w14:textId="77777777" w:rsidR="00695197" w:rsidRPr="007D4280" w:rsidRDefault="00152032" w:rsidP="001B3F05">
      <w:pPr>
        <w:numPr>
          <w:ilvl w:val="1"/>
          <w:numId w:val="15"/>
        </w:numPr>
        <w:spacing w:after="120" w:line="300" w:lineRule="auto"/>
        <w:rPr>
          <w:rFonts w:ascii="Arial" w:eastAsia="Arial" w:hAnsi="Arial" w:cs="Arial"/>
          <w:sz w:val="18"/>
        </w:rPr>
      </w:pPr>
      <w:proofErr w:type="gramStart"/>
      <w:r w:rsidRPr="007D4280">
        <w:rPr>
          <w:rFonts w:ascii="Arial" w:hAnsi="Arial"/>
          <w:sz w:val="18"/>
        </w:rPr>
        <w:t>discuter</w:t>
      </w:r>
      <w:proofErr w:type="gramEnd"/>
      <w:r w:rsidRPr="007D4280">
        <w:rPr>
          <w:rFonts w:ascii="Arial" w:hAnsi="Arial"/>
          <w:sz w:val="18"/>
        </w:rPr>
        <w:t xml:space="preserve"> avec les auditeurs externes des difficultés ou des conflits qui surviennent avec la direction ou les auditeurs internes pendant l’audit, ainsi que de la réponse de la direction pour corriger les lacunes décelées lors de l’audit et résoudre les conflits en suspens;</w:t>
      </w:r>
    </w:p>
    <w:p w14:paraId="598915B6" w14:textId="77777777" w:rsidR="00695197" w:rsidRPr="007D4280" w:rsidRDefault="00152032" w:rsidP="001B3F05">
      <w:pPr>
        <w:numPr>
          <w:ilvl w:val="1"/>
          <w:numId w:val="15"/>
        </w:numPr>
        <w:spacing w:after="120" w:line="300" w:lineRule="auto"/>
        <w:rPr>
          <w:rFonts w:ascii="Arial" w:eastAsia="Arial" w:hAnsi="Arial" w:cs="Arial"/>
          <w:sz w:val="18"/>
        </w:rPr>
      </w:pPr>
      <w:proofErr w:type="gramStart"/>
      <w:r w:rsidRPr="007D4280">
        <w:rPr>
          <w:rFonts w:ascii="Arial" w:hAnsi="Arial"/>
          <w:sz w:val="18"/>
        </w:rPr>
        <w:t>prendre</w:t>
      </w:r>
      <w:proofErr w:type="gramEnd"/>
      <w:r w:rsidRPr="007D4280">
        <w:rPr>
          <w:rFonts w:ascii="Arial" w:hAnsi="Arial"/>
          <w:sz w:val="18"/>
        </w:rPr>
        <w:t xml:space="preserve"> les mesures raisonnables nécessaires pour s’assurer que l’audit a été mené conformément aux exigences des lois applicables et aux normes d’audit des organismes professionnels ou de </w:t>
      </w:r>
      <w:proofErr w:type="gramStart"/>
      <w:r w:rsidRPr="007D4280">
        <w:rPr>
          <w:rFonts w:ascii="Arial" w:hAnsi="Arial"/>
          <w:sz w:val="18"/>
        </w:rPr>
        <w:t>réglementation concernés</w:t>
      </w:r>
      <w:proofErr w:type="gramEnd"/>
      <w:r w:rsidRPr="007D4280">
        <w:rPr>
          <w:rFonts w:ascii="Arial" w:hAnsi="Arial"/>
          <w:sz w:val="18"/>
        </w:rPr>
        <w:t>;</w:t>
      </w:r>
    </w:p>
    <w:p w14:paraId="7B12CB25" w14:textId="77777777" w:rsidR="00695197" w:rsidRPr="007D4280" w:rsidRDefault="00152032" w:rsidP="001B3F05">
      <w:pPr>
        <w:numPr>
          <w:ilvl w:val="1"/>
          <w:numId w:val="15"/>
        </w:numPr>
        <w:spacing w:after="120" w:line="300" w:lineRule="auto"/>
        <w:rPr>
          <w:rFonts w:ascii="Arial" w:eastAsia="Arial" w:hAnsi="Arial" w:cs="Arial"/>
          <w:sz w:val="18"/>
        </w:rPr>
      </w:pPr>
      <w:proofErr w:type="gramStart"/>
      <w:r w:rsidRPr="007D4280">
        <w:rPr>
          <w:rFonts w:ascii="Arial" w:hAnsi="Arial"/>
          <w:sz w:val="18"/>
        </w:rPr>
        <w:t>examiner</w:t>
      </w:r>
      <w:proofErr w:type="gramEnd"/>
      <w:r w:rsidRPr="007D4280">
        <w:rPr>
          <w:rFonts w:ascii="Arial" w:hAnsi="Arial"/>
          <w:sz w:val="18"/>
        </w:rPr>
        <w:t xml:space="preserve"> et résoudre les désaccords entre la direction et les auditeurs externes concernant la présentation de l’information financière ou l’application des principes ou méthodes comptables.</w:t>
      </w:r>
    </w:p>
    <w:p w14:paraId="1B083717"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Principes et méthodes comptables</w:t>
      </w:r>
      <w:r w:rsidRPr="007D4280">
        <w:rPr>
          <w:rFonts w:ascii="Arial" w:hAnsi="Arial"/>
          <w:sz w:val="18"/>
        </w:rPr>
        <w:t> – Superviser et examiner, comme le comité le juge nécessaire, les principes et méthodes comptables de la Société, et en discuter avec la direction, les auditeurs externes et les auditeurs internes, ce qui comprend :</w:t>
      </w:r>
    </w:p>
    <w:p w14:paraId="25362F85"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Sélection – le caractère approprié et l’acceptabilité des principes et méthodes comptables utilisés pour présenter l’information financière de la Société, les modifications apportées aux principes ou aux méthodes comptables de la Société et l’application de pratiques de communication de l’information et de principes comptables particuliers aux nouvelles transactions ou aux nouveaux événements par la direction;</w:t>
      </w:r>
    </w:p>
    <w:p w14:paraId="2AC9C3B4"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Problèmes importants relatifs à la communication de l’information financière – tout problème ou jugement important qui concerne la communication de l’information financière pour la préparation des états financiers et toute contre-expertise demandée par la direction à un auditeur indépendant relativement au traitement comptable d’un élément particulier;</w:t>
      </w:r>
    </w:p>
    <w:p w14:paraId="1965A7AF"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Désaccords – désaccords entre la direction et les auditeurs externes ou les auditeurs internes concernant l’application des principes ou méthodes comptables;</w:t>
      </w:r>
    </w:p>
    <w:p w14:paraId="6BDEAF80"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Modifications importantes ou proposées – toute modification importante ou proposée des principes et méthodes comptables de la Société;</w:t>
      </w:r>
    </w:p>
    <w:p w14:paraId="58FFB3EA"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Modifications apportées aux exigences réglementaires et comptables – effet des modifications apportées aux exigences réglementaires et comptables;</w:t>
      </w:r>
    </w:p>
    <w:p w14:paraId="64A5FFEE"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Affaires, réclamations et éventualités de nature juridique – toute affaire, réclamation ou éventualité de nature juridique susceptible d’avoir une incidence sur les états financiers et les politiques de conformité de la Société, et tout rapport important, requête ou autre correspondance reçus d’une autorité de réglementation ou d’un organisme gouvernemental, et la façon dont ces affaires, réclamations et éventualités de nature juridique sont présentées dans les états financiers;</w:t>
      </w:r>
    </w:p>
    <w:p w14:paraId="4F584B31"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Information pro forma ou ajustée – utilisation d’information « pro forma » ou « ajustée » non conforme aux principes comptables reconnus;</w:t>
      </w:r>
    </w:p>
    <w:p w14:paraId="094968B3" w14:textId="77777777" w:rsidR="00695197" w:rsidRPr="007D4280" w:rsidRDefault="00152032" w:rsidP="001B3F05">
      <w:pPr>
        <w:numPr>
          <w:ilvl w:val="1"/>
          <w:numId w:val="16"/>
        </w:numPr>
        <w:spacing w:after="120" w:line="300" w:lineRule="auto"/>
        <w:rPr>
          <w:rFonts w:ascii="Arial" w:eastAsia="Arial" w:hAnsi="Arial" w:cs="Arial"/>
          <w:sz w:val="18"/>
        </w:rPr>
      </w:pPr>
      <w:r w:rsidRPr="007D4280">
        <w:rPr>
          <w:rFonts w:ascii="Arial" w:hAnsi="Arial"/>
          <w:sz w:val="18"/>
        </w:rPr>
        <w:t>Dépréciation de la survaleur – détermination de la dépréciation de la survaleur par la direction, s’il y a lieu, comme l’exigent les normes comptables applicables.</w:t>
      </w:r>
    </w:p>
    <w:p w14:paraId="604262F5"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Résultats financiers intérimaires</w:t>
      </w:r>
      <w:r w:rsidRPr="007D4280">
        <w:rPr>
          <w:rFonts w:ascii="Arial" w:hAnsi="Arial"/>
          <w:sz w:val="18"/>
        </w:rPr>
        <w:t> – Avant la diffusion des résultats financiers intérimaires, y compris les communiqués connexes, ou la présentation des rapports financiers intérimaires aux organismes de réglementation concernés, examiner les états financiers consolidés intérimaires ainsi que le rapport de gestion et le communiqué connexes avec les auditeurs externes et la direction, et approuver ces documents aux fins de diffusion.</w:t>
      </w:r>
    </w:p>
    <w:p w14:paraId="6DDB393A"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États financiers consolidés annuels vérifiés</w:t>
      </w:r>
      <w:r w:rsidRPr="007D4280">
        <w:rPr>
          <w:rFonts w:ascii="Arial" w:hAnsi="Arial"/>
          <w:sz w:val="18"/>
        </w:rPr>
        <w:t> – Examiner les états financiers consolidés annuels vérifiés ainsi que le rapport de gestion et le communiqué connexes avec les auditeurs externes et la direction, et rendre compte des résultats de cet examen au conseil d’administration plénier avant l’approbation de ces résultats et leur diffusion aux actionnaires par le conseil d’administration.</w:t>
      </w:r>
    </w:p>
    <w:p w14:paraId="0E2F5950"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Prospectus et circulaires d’information</w:t>
      </w:r>
      <w:r w:rsidRPr="007D4280">
        <w:rPr>
          <w:rFonts w:ascii="Arial" w:hAnsi="Arial"/>
          <w:sz w:val="18"/>
        </w:rPr>
        <w:t> – Examiner l’information financière présentée dans les prospectus et circulaires d’information de la Société avec les auditeurs externes et la direction, et faire des recommandations concernant l’approbation de cette information par le conseil d’administration. Le comité doit aussi évaluer périodiquement les procédures relatives à l’examen de la diffusion publique par la Société de l’information financière tirée ou dérivée des états financiers et du rapport de gestion, afin de déterminer si elles sont adéquates.</w:t>
      </w:r>
    </w:p>
    <w:p w14:paraId="498213A0"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Communications entre la direction, les auditeurs internes et les auditeurs externes</w:t>
      </w:r>
      <w:r w:rsidRPr="007D4280">
        <w:rPr>
          <w:rFonts w:ascii="Arial" w:hAnsi="Arial"/>
          <w:sz w:val="18"/>
        </w:rPr>
        <w:t> – Fournir une voie de communication entre la direction, les auditeurs internes, les auditeurs externes et le conseil d’administration.</w:t>
      </w:r>
    </w:p>
    <w:p w14:paraId="1E37B87E"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Enquêtes indépendantes</w:t>
      </w:r>
      <w:r w:rsidRPr="007D4280">
        <w:rPr>
          <w:rFonts w:ascii="Arial" w:hAnsi="Arial"/>
          <w:sz w:val="18"/>
        </w:rPr>
        <w:t> – Mener des enquêtes indépendantes sur toute question sous sa responsabilité.</w:t>
      </w:r>
    </w:p>
    <w:p w14:paraId="5AAD8BAB"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Régime de retraite</w:t>
      </w:r>
      <w:r w:rsidRPr="007D4280">
        <w:rPr>
          <w:rFonts w:ascii="Arial" w:hAnsi="Arial"/>
          <w:sz w:val="18"/>
        </w:rPr>
        <w:t> – En ce qui concerne le régime de retraite :</w:t>
      </w:r>
    </w:p>
    <w:p w14:paraId="4ED40D6A" w14:textId="77777777" w:rsidR="00695197" w:rsidRPr="007D4280" w:rsidRDefault="00152032" w:rsidP="001B3F05">
      <w:pPr>
        <w:numPr>
          <w:ilvl w:val="1"/>
          <w:numId w:val="17"/>
        </w:numPr>
        <w:spacing w:after="120" w:line="300" w:lineRule="auto"/>
        <w:rPr>
          <w:rFonts w:ascii="Arial" w:eastAsia="Arial" w:hAnsi="Arial" w:cs="Arial"/>
          <w:sz w:val="18"/>
        </w:rPr>
      </w:pPr>
      <w:r w:rsidRPr="007D4280">
        <w:rPr>
          <w:rFonts w:ascii="Arial" w:hAnsi="Arial"/>
          <w:sz w:val="18"/>
        </w:rPr>
        <w:t>Objectifs et politiques d’investissement et composition des investissements de l’actif – Recevoir les recommandations du comité consultatif d’investissement du régime de retraite (de la direction) concernant les objectifs et politiques d’investissement et la composition des investissements de l’actif, et faire des recommandations au conseil d’administration.</w:t>
      </w:r>
    </w:p>
    <w:p w14:paraId="381383BC" w14:textId="77777777" w:rsidR="00695197" w:rsidRPr="007D4280" w:rsidRDefault="00152032" w:rsidP="001B3F05">
      <w:pPr>
        <w:numPr>
          <w:ilvl w:val="1"/>
          <w:numId w:val="17"/>
        </w:numPr>
        <w:spacing w:after="120" w:line="300" w:lineRule="auto"/>
        <w:rPr>
          <w:rFonts w:ascii="Arial" w:eastAsia="Arial" w:hAnsi="Arial" w:cs="Arial"/>
          <w:sz w:val="18"/>
        </w:rPr>
      </w:pPr>
      <w:r w:rsidRPr="007D4280">
        <w:rPr>
          <w:rFonts w:ascii="Arial" w:hAnsi="Arial"/>
          <w:sz w:val="18"/>
        </w:rPr>
        <w:t>Gestionnaires de placement – Recevoir les recommandations du comité consultatif d’investissement du régime de retraite et approuver l’embauche et la cessation d’emploi des gestionnaires de placement.</w:t>
      </w:r>
    </w:p>
    <w:p w14:paraId="5FB1902C" w14:textId="77777777" w:rsidR="00695197" w:rsidRPr="007D4280" w:rsidRDefault="00152032" w:rsidP="001B3F05">
      <w:pPr>
        <w:numPr>
          <w:ilvl w:val="1"/>
          <w:numId w:val="17"/>
        </w:numPr>
        <w:spacing w:after="120" w:line="300" w:lineRule="auto"/>
        <w:rPr>
          <w:rFonts w:ascii="Arial" w:eastAsia="Arial" w:hAnsi="Arial" w:cs="Arial"/>
          <w:sz w:val="18"/>
        </w:rPr>
      </w:pPr>
      <w:r w:rsidRPr="007D4280">
        <w:rPr>
          <w:rFonts w:ascii="Arial" w:hAnsi="Arial"/>
          <w:sz w:val="18"/>
        </w:rPr>
        <w:t>Rendement du régime de retraite – Recevoir les rapports du comité consultatif d’investissement du régime de retraite sur le rendement de la caisse de retraite et en rendre compte au conseil d’administration.</w:t>
      </w:r>
    </w:p>
    <w:p w14:paraId="39F4CFC3" w14:textId="77777777" w:rsidR="00695197" w:rsidRPr="007D4280" w:rsidRDefault="00152032" w:rsidP="001B3F05">
      <w:pPr>
        <w:numPr>
          <w:ilvl w:val="1"/>
          <w:numId w:val="17"/>
        </w:numPr>
        <w:spacing w:after="120" w:line="300" w:lineRule="auto"/>
        <w:rPr>
          <w:rFonts w:ascii="Arial" w:eastAsia="Arial" w:hAnsi="Arial" w:cs="Arial"/>
          <w:sz w:val="18"/>
        </w:rPr>
      </w:pPr>
      <w:r w:rsidRPr="007D4280">
        <w:rPr>
          <w:rFonts w:ascii="Arial" w:hAnsi="Arial"/>
          <w:sz w:val="18"/>
        </w:rPr>
        <w:t>Énoncé des politiques et des procédures de placement (EPPP) – Recevoir les recommandations du comité consultatif d’investissement du régime de retraite et approuver le dépôt de l’EPPP.</w:t>
      </w:r>
    </w:p>
    <w:p w14:paraId="7FD33544" w14:textId="77777777" w:rsidR="00695197" w:rsidRPr="007D4280" w:rsidRDefault="00152032" w:rsidP="001B3F05">
      <w:pPr>
        <w:numPr>
          <w:ilvl w:val="1"/>
          <w:numId w:val="17"/>
        </w:numPr>
        <w:spacing w:after="120" w:line="300" w:lineRule="auto"/>
        <w:rPr>
          <w:rFonts w:ascii="Arial" w:eastAsia="Arial" w:hAnsi="Arial" w:cs="Arial"/>
          <w:sz w:val="18"/>
        </w:rPr>
      </w:pPr>
      <w:r w:rsidRPr="007D4280">
        <w:rPr>
          <w:rFonts w:ascii="Arial" w:hAnsi="Arial"/>
          <w:sz w:val="18"/>
        </w:rPr>
        <w:t>Comité consultatif d’investissement du régime de retraite – Superviser les activités du comité consultatif d’investissement du régime de retraite.</w:t>
      </w:r>
    </w:p>
    <w:p w14:paraId="64AF7234"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Autres rapports des auditeurs externes</w:t>
      </w:r>
      <w:r w:rsidRPr="007D4280">
        <w:rPr>
          <w:rFonts w:ascii="Arial" w:hAnsi="Arial"/>
          <w:sz w:val="18"/>
        </w:rPr>
        <w:t> – Examiner tous les rapports que les auditeurs externes sont tenus de présenter au comité ou au conseil d’administration en vertu des règles, des politiques ou des méthodes établies par les ordres professionnels ou organismes de réglementation dont relèvent les auditeurs externes ainsi que tout autre rapport demandé aux auditeurs externes par le comité.</w:t>
      </w:r>
    </w:p>
    <w:p w14:paraId="39BD2283"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Plaintes relatives à la comptabilité, aux contrôles ou à l’audit</w:t>
      </w:r>
      <w:r w:rsidRPr="007D4280">
        <w:rPr>
          <w:rFonts w:ascii="Arial" w:hAnsi="Arial"/>
          <w:sz w:val="18"/>
        </w:rPr>
        <w:t> – Établir des procédures pour la réception, l’examen et le traitement des plaintes adressées à la Société en matière de comptabilité, de contrôles comptables internes ou d’audit et des préoccupations soumises de manière anonyme par les employés concernant d’éventuelles pratiques de comptabilité ou d’audit douteuses, faire le suivi de ces procédures et les examiner périodiquement, de même que les plaintes sérieuses reçues, avec la direction et les auditeurs internes.</w:t>
      </w:r>
    </w:p>
    <w:p w14:paraId="27E1CB77"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Exposition aux risques financiers</w:t>
      </w:r>
      <w:r w:rsidRPr="007D4280">
        <w:rPr>
          <w:rFonts w:ascii="Arial" w:hAnsi="Arial"/>
          <w:sz w:val="18"/>
        </w:rPr>
        <w:t> – Tenir des rencontres périodiques avec la direction afin de discuter des risques financiers importants auxquels la Société est exposée et des mesures en matière de politiques prises par la direction pour surveiller ces risques, y compris le recours à des instruments financiers dérivés et à des opérations de couverture.</w:t>
      </w:r>
    </w:p>
    <w:p w14:paraId="793452C8"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Comités d’audit des principales filiales</w:t>
      </w:r>
      <w:r w:rsidRPr="007D4280">
        <w:rPr>
          <w:rFonts w:ascii="Arial" w:hAnsi="Arial"/>
          <w:sz w:val="18"/>
        </w:rPr>
        <w:t> – Recevoir et passer en revue les procès-verbaux des réunions des comités d’audit des principales filiales de la Société.</w:t>
      </w:r>
    </w:p>
    <w:p w14:paraId="6758ABC7"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Autres questions déléguées</w:t>
      </w:r>
      <w:r w:rsidRPr="007D4280">
        <w:rPr>
          <w:rFonts w:ascii="Arial" w:hAnsi="Arial"/>
          <w:sz w:val="18"/>
        </w:rPr>
        <w:t> – Examiner et approuver toute question déléguée au comité par le conseil d’administration et exécuter au nom du conseil toute activité nécessaire ou souhaitable pour aider le conseil dans l’exercice de ses fonctions de surveillance à l’égard des questions financières.</w:t>
      </w:r>
    </w:p>
    <w:p w14:paraId="4FC2EB80" w14:textId="77777777" w:rsidR="00695197" w:rsidRPr="007D4280" w:rsidRDefault="00152032" w:rsidP="00E72EC2">
      <w:pPr>
        <w:spacing w:after="120" w:line="300" w:lineRule="auto"/>
        <w:rPr>
          <w:rFonts w:ascii="Arial" w:eastAsia="Arial" w:hAnsi="Arial" w:cs="Arial"/>
          <w:b/>
          <w:bCs/>
          <w:sz w:val="18"/>
        </w:rPr>
      </w:pPr>
      <w:r w:rsidRPr="007D4280">
        <w:rPr>
          <w:rFonts w:ascii="Arial" w:hAnsi="Arial"/>
          <w:b/>
          <w:sz w:val="18"/>
        </w:rPr>
        <w:t>Charte</w:t>
      </w:r>
    </w:p>
    <w:p w14:paraId="03D17129"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Examen de la charte</w:t>
      </w:r>
      <w:r w:rsidRPr="007D4280">
        <w:rPr>
          <w:rFonts w:ascii="Arial" w:hAnsi="Arial"/>
          <w:sz w:val="18"/>
        </w:rPr>
        <w:t> – Le comité doit réévaluer la pertinence de la présente charte tous les ans ou plus fréquemment s’il le juge approprié et recommander des modifications au comité de gouvernance d’entreprise.</w:t>
      </w:r>
    </w:p>
    <w:p w14:paraId="14EED557" w14:textId="77777777" w:rsidR="00695197" w:rsidRPr="007D4280" w:rsidRDefault="00152032" w:rsidP="001B3F05">
      <w:pPr>
        <w:numPr>
          <w:ilvl w:val="0"/>
          <w:numId w:val="9"/>
        </w:numPr>
        <w:spacing w:after="120" w:line="300" w:lineRule="auto"/>
        <w:ind w:hanging="720"/>
        <w:rPr>
          <w:rFonts w:ascii="Arial" w:eastAsia="Arial" w:hAnsi="Arial" w:cs="Arial"/>
          <w:sz w:val="18"/>
        </w:rPr>
      </w:pPr>
      <w:r w:rsidRPr="007D4280">
        <w:rPr>
          <w:rFonts w:ascii="Arial" w:hAnsi="Arial"/>
          <w:i/>
          <w:sz w:val="18"/>
        </w:rPr>
        <w:t>Rendement du comité</w:t>
      </w:r>
      <w:r w:rsidRPr="007D4280">
        <w:rPr>
          <w:rFonts w:ascii="Arial" w:hAnsi="Arial"/>
          <w:sz w:val="18"/>
        </w:rPr>
        <w:t> – Annuellement, le comité doit évaluer son rendement par rapport à la présente charte, et les résultats de cette évaluation doivent être présentés au comité de gouvernance d’entreprise.</w:t>
      </w:r>
    </w:p>
    <w:p w14:paraId="297B1ADC" w14:textId="0F410AF8" w:rsidR="00695197" w:rsidRPr="007D4280" w:rsidRDefault="00152032" w:rsidP="001B3F05">
      <w:pPr>
        <w:numPr>
          <w:ilvl w:val="0"/>
          <w:numId w:val="9"/>
        </w:numPr>
        <w:spacing w:line="300" w:lineRule="auto"/>
        <w:ind w:hanging="720"/>
        <w:rPr>
          <w:rFonts w:ascii="Arial" w:eastAsia="Arial" w:hAnsi="Arial" w:cs="Arial"/>
          <w:sz w:val="18"/>
        </w:rPr>
      </w:pPr>
      <w:r w:rsidRPr="007D4280">
        <w:rPr>
          <w:rFonts w:ascii="Arial" w:hAnsi="Arial"/>
          <w:i/>
          <w:sz w:val="18"/>
        </w:rPr>
        <w:t>Publication de la charte</w:t>
      </w:r>
      <w:r w:rsidRPr="007D4280">
        <w:rPr>
          <w:rFonts w:ascii="Arial" w:hAnsi="Arial"/>
          <w:sz w:val="18"/>
        </w:rPr>
        <w:t> – Le comité doit s’assurer que la présente charte est publiée sur le site Web de la Société et qu’elle figure dans la notice annuelle de la Société conformément aux lois sur les valeurs mobilières ou aux exigences réglementaires applicables.</w:t>
      </w:r>
      <w:bookmarkEnd w:id="81"/>
    </w:p>
    <w:sectPr w:rsidR="00695197" w:rsidRPr="007D4280" w:rsidSect="001519F0">
      <w:headerReference w:type="default" r:id="rId29"/>
      <w:footerReference w:type="default" r:id="rId30"/>
      <w:pgSz w:w="12240" w:h="15840"/>
      <w:pgMar w:top="1440" w:right="1440" w:bottom="1440" w:left="1440" w:header="270" w:footer="2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3A83" w14:textId="77777777" w:rsidR="00C45C03" w:rsidRDefault="00C45C03">
      <w:r>
        <w:separator/>
      </w:r>
    </w:p>
  </w:endnote>
  <w:endnote w:type="continuationSeparator" w:id="0">
    <w:p w14:paraId="3078061E" w14:textId="77777777" w:rsidR="00C45C03" w:rsidRDefault="00C4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ArialMT">
    <w:altName w:val="Klee One"/>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5C37" w14:textId="77777777" w:rsidR="00530F74" w:rsidRDefault="00530F74">
    <w:pPr>
      <w:spacing w:line="288" w:lineRule="auto"/>
      <w:jc w:val="center"/>
      <w:rPr>
        <w:rFonts w:ascii="Arial" w:eastAsia="Arial" w:hAnsi="Arial" w:cs="Arial"/>
        <w:sz w:val="18"/>
      </w:rPr>
    </w:pPr>
  </w:p>
  <w:sdt>
    <w:sdtPr>
      <w:alias w:val="LX-DOCUMENTID_19cf1e58-fe8b-48c7-b35f-0c61bdb17bd0"/>
      <w:tag w:val="LX-DOCUMENTID"/>
      <w:id w:val="725882072"/>
      <w:placeholder>
        <w:docPart w:val="DefaultPlaceholder_-1854013440"/>
      </w:placeholder>
    </w:sdtPr>
    <w:sdtEndPr/>
    <w:sdtContent>
      <w:p w14:paraId="506D95A7" w14:textId="66E75F2D" w:rsidR="00530F74" w:rsidRPr="00BD7E95" w:rsidRDefault="00152032" w:rsidP="00BD7E95">
        <w:pPr>
          <w:pStyle w:val="DocsID"/>
        </w:pPr>
        <w:r>
          <w:t>LEGAL_1:107375801.3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FE6" w14:textId="6423947D" w:rsidR="00530F74" w:rsidRPr="008771C0" w:rsidRDefault="00530F74" w:rsidP="00877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47702"/>
      <w:docPartObj>
        <w:docPartGallery w:val="Page Numbers (Bottom of Page)"/>
        <w:docPartUnique/>
      </w:docPartObj>
    </w:sdtPr>
    <w:sdtEndPr>
      <w:rPr>
        <w:rFonts w:ascii="Arial" w:hAnsi="Arial" w:cs="Arial"/>
        <w:noProof/>
        <w:sz w:val="18"/>
        <w:szCs w:val="18"/>
      </w:rPr>
    </w:sdtEndPr>
    <w:sdtContent>
      <w:p w14:paraId="67FDF768" w14:textId="77777777" w:rsidR="00530F74" w:rsidRPr="000A0138" w:rsidRDefault="00152032">
        <w:pPr>
          <w:pStyle w:val="Footer"/>
          <w:jc w:val="center"/>
          <w:rPr>
            <w:rFonts w:ascii="Arial" w:hAnsi="Arial" w:cs="Arial"/>
            <w:sz w:val="18"/>
            <w:szCs w:val="18"/>
          </w:rPr>
        </w:pPr>
        <w:r w:rsidRPr="000A0138">
          <w:rPr>
            <w:rFonts w:ascii="Arial" w:hAnsi="Arial" w:cs="Arial"/>
            <w:sz w:val="18"/>
          </w:rPr>
          <w:fldChar w:fldCharType="begin"/>
        </w:r>
        <w:r w:rsidRPr="000A0138">
          <w:rPr>
            <w:rFonts w:ascii="Arial" w:hAnsi="Arial" w:cs="Arial"/>
            <w:sz w:val="18"/>
          </w:rPr>
          <w:instrText xml:space="preserve"> PAGE   \* MERGEFORMAT </w:instrText>
        </w:r>
        <w:r w:rsidRPr="000A0138">
          <w:rPr>
            <w:rFonts w:ascii="Arial" w:hAnsi="Arial" w:cs="Arial"/>
            <w:sz w:val="18"/>
          </w:rPr>
          <w:fldChar w:fldCharType="separate"/>
        </w:r>
        <w:r w:rsidRPr="000A0138">
          <w:rPr>
            <w:rFonts w:ascii="Arial" w:hAnsi="Arial" w:cs="Arial"/>
            <w:sz w:val="18"/>
          </w:rPr>
          <w:t>2</w:t>
        </w:r>
        <w:r w:rsidRPr="000A0138">
          <w:rPr>
            <w:rFonts w:ascii="Arial" w:hAnsi="Arial" w:cs="Arial"/>
            <w:sz w:val="18"/>
          </w:rPr>
          <w:fldChar w:fldCharType="end"/>
        </w:r>
      </w:p>
    </w:sdtContent>
  </w:sdt>
  <w:p w14:paraId="15094320" w14:textId="77777777" w:rsidR="00530F74" w:rsidRDefault="00530F74">
    <w:pPr>
      <w:spacing w:line="300" w:lineRule="auto"/>
      <w:rPr>
        <w:rFonts w:ascii="Arial" w:eastAsia="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1B82" w14:textId="77777777" w:rsidR="00C45C03" w:rsidRDefault="00C45C03">
      <w:r>
        <w:separator/>
      </w:r>
    </w:p>
  </w:footnote>
  <w:footnote w:type="continuationSeparator" w:id="0">
    <w:p w14:paraId="63C4178D" w14:textId="77777777" w:rsidR="00C45C03" w:rsidRDefault="00C45C03">
      <w:r>
        <w:continuationSeparator/>
      </w:r>
    </w:p>
  </w:footnote>
  <w:footnote w:id="1">
    <w:p w14:paraId="75D2FA1B" w14:textId="354181BC" w:rsidR="00345733" w:rsidRPr="00345733" w:rsidRDefault="00345733" w:rsidP="00345733">
      <w:pPr>
        <w:pStyle w:val="FootnoteText"/>
        <w:rPr>
          <w:rFonts w:ascii="Arial" w:hAnsi="Arial" w:cs="Arial"/>
          <w:sz w:val="16"/>
          <w:szCs w:val="16"/>
        </w:rPr>
      </w:pPr>
      <w:r>
        <w:rPr>
          <w:rStyle w:val="FootnoteReference"/>
        </w:rPr>
        <w:footnoteRef/>
      </w:r>
      <w:r>
        <w:t xml:space="preserve"> </w:t>
      </w:r>
      <w:r>
        <w:rPr>
          <w:rFonts w:ascii="Arial" w:hAnsi="Arial"/>
          <w:sz w:val="16"/>
        </w:rPr>
        <w:t>Source : NielsenIQ (Canada) et Circana-SPINS Total MULO + Natural Channel (É.-U.)</w:t>
      </w:r>
    </w:p>
    <w:p w14:paraId="6CAFB54E" w14:textId="39D1E07C" w:rsidR="00345733" w:rsidRDefault="003457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97D8" w14:textId="77777777" w:rsidR="00530F74" w:rsidRDefault="00152032">
    <w:pPr>
      <w:spacing w:after="2" w:line="300" w:lineRule="auto"/>
      <w:jc w:val="center"/>
      <w:outlineLvl w:val="0"/>
      <w:rPr>
        <w:rFonts w:ascii="Arial" w:eastAsia="Arial" w:hAnsi="Arial" w:cs="Arial"/>
        <w:b/>
        <w:sz w:val="22"/>
      </w:rPr>
    </w:pPr>
    <w:r>
      <w:rPr>
        <w:rFonts w:ascii="Arial" w:hAnsi="Arial"/>
        <w:b/>
        <w:sz w:val="22"/>
      </w:rPr>
      <w:t>LES ALIMENTS MAPLE LEAF INC.</w:t>
    </w:r>
  </w:p>
  <w:p w14:paraId="36880A78" w14:textId="77777777" w:rsidR="00530F74" w:rsidRDefault="00152032">
    <w:pPr>
      <w:spacing w:line="300" w:lineRule="auto"/>
      <w:jc w:val="center"/>
      <w:rPr>
        <w:rFonts w:ascii="Arial" w:eastAsia="Arial" w:hAnsi="Arial" w:cs="Arial"/>
        <w:b/>
        <w:sz w:val="18"/>
      </w:rPr>
    </w:pPr>
    <w:r>
      <w:rPr>
        <w:rFonts w:ascii="Arial" w:hAnsi="Arial"/>
        <w:b/>
        <w:sz w:val="22"/>
      </w:rPr>
      <w:t>NOTICE ANNUELLE</w:t>
    </w:r>
  </w:p>
  <w:p w14:paraId="1C065EA2" w14:textId="77777777" w:rsidR="00530F74" w:rsidRDefault="00152032">
    <w:pPr>
      <w:spacing w:line="300" w:lineRule="auto"/>
      <w:jc w:val="center"/>
      <w:rPr>
        <w:rFonts w:ascii="Arial" w:eastAsia="Arial" w:hAnsi="Arial" w:cs="Arial"/>
        <w:b/>
        <w:sz w:val="18"/>
      </w:rPr>
    </w:pPr>
    <w:r>
      <w:rPr>
        <w:rFonts w:ascii="Arial" w:hAnsi="Arial"/>
        <w:sz w:val="18"/>
      </w:rPr>
      <w:t>25 février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88BC" w14:textId="77777777" w:rsidR="00530F74" w:rsidRDefault="00530F74">
    <w:pPr>
      <w:spacing w:line="300" w:lineRule="auto"/>
      <w:rPr>
        <w:rFonts w:ascii="Arial" w:eastAsia="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8F69" w14:textId="77777777" w:rsidR="00530F74" w:rsidRDefault="00152032">
    <w:pPr>
      <w:spacing w:line="257" w:lineRule="auto"/>
      <w:jc w:val="center"/>
      <w:outlineLvl w:val="0"/>
      <w:rPr>
        <w:rFonts w:ascii="Arial" w:eastAsia="Arial" w:hAnsi="Arial" w:cs="Arial"/>
        <w:sz w:val="18"/>
      </w:rPr>
    </w:pPr>
    <w:r>
      <w:rPr>
        <w:rFonts w:ascii="Arial" w:hAnsi="Arial"/>
        <w:b/>
        <w:sz w:val="22"/>
      </w:rPr>
      <w:t>LES ALIMENTS MAPLE LEAF INC.</w:t>
    </w:r>
  </w:p>
  <w:p w14:paraId="52865F3F" w14:textId="77777777" w:rsidR="00530F74" w:rsidRDefault="00152032">
    <w:pPr>
      <w:spacing w:line="257" w:lineRule="auto"/>
      <w:jc w:val="center"/>
      <w:rPr>
        <w:rFonts w:ascii="Arial" w:eastAsia="Arial" w:hAnsi="Arial" w:cs="Arial"/>
        <w:sz w:val="18"/>
      </w:rPr>
    </w:pPr>
    <w:r>
      <w:rPr>
        <w:rFonts w:ascii="Arial" w:hAnsi="Arial"/>
        <w:b/>
        <w:sz w:val="22"/>
      </w:rPr>
      <w:t>NOTICE ANNUELLE</w:t>
    </w:r>
  </w:p>
  <w:p w14:paraId="0800E542" w14:textId="5AE4EC24" w:rsidR="00530F74" w:rsidRPr="00EB26DF" w:rsidRDefault="00152032">
    <w:pPr>
      <w:spacing w:line="257" w:lineRule="auto"/>
      <w:jc w:val="center"/>
      <w:rPr>
        <w:rFonts w:ascii="Arial" w:eastAsia="Arial" w:hAnsi="Arial" w:cs="Arial"/>
        <w:sz w:val="18"/>
      </w:rPr>
    </w:pPr>
    <w:r>
      <w:rPr>
        <w:rFonts w:ascii="Arial" w:hAnsi="Arial"/>
        <w:sz w:val="18"/>
      </w:rPr>
      <w:t>31 mars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76AF" w14:textId="77777777" w:rsidR="00530F74" w:rsidRPr="00991C94" w:rsidRDefault="00530F74" w:rsidP="00991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7"/>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8"/>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9"/>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A"/>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B"/>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C"/>
    <w:multiLevelType w:val="multilevel"/>
    <w:tmpl w:val="0000000C"/>
    <w:styleLink w:val="NumericNumberedNUMBER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E"/>
    <w:multiLevelType w:val="multilevel"/>
    <w:tmpl w:val="0000000C"/>
    <w:lvl w:ilvl="0">
      <w:start w:val="1"/>
      <w:numFmt w:val="decimal"/>
      <w:lvlText w:val="%1."/>
      <w:lvlJc w:val="left"/>
      <w:pPr>
        <w:tabs>
          <w:tab w:val="num" w:pos="360"/>
        </w:tabs>
        <w:ind w:left="720" w:hanging="360"/>
      </w:pPr>
      <w:rPr>
        <w:rFonts w:ascii="Arial" w:eastAsia="Arial" w:hAnsi="Arial" w:cs="Arial"/>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multilevel"/>
    <w:tmpl w:val="0000000C"/>
    <w:lvl w:ilvl="0">
      <w:start w:val="1"/>
      <w:numFmt w:val="decimal"/>
      <w:lvlText w:val="%1."/>
      <w:lvlJc w:val="left"/>
      <w:pPr>
        <w:tabs>
          <w:tab w:val="num" w:pos="720"/>
        </w:tabs>
        <w:ind w:left="720" w:hanging="360"/>
      </w:pPr>
      <w:rPr>
        <w:rFonts w:ascii="Arial" w:eastAsia="Arial" w:hAnsi="Arial" w:cs="Arial"/>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1"/>
    <w:multiLevelType w:val="multilevel"/>
    <w:tmpl w:val="00000011"/>
    <w:styleLink w:val="LowerAlphaNUMBERED"/>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0" w15:restartNumberingAfterBreak="0">
    <w:nsid w:val="00000012"/>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1" w15:restartNumberingAfterBreak="0">
    <w:nsid w:val="00000013"/>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2" w15:restartNumberingAfterBreak="0">
    <w:nsid w:val="00000014"/>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3" w15:restartNumberingAfterBreak="0">
    <w:nsid w:val="00000015"/>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4" w15:restartNumberingAfterBreak="0">
    <w:nsid w:val="00000016"/>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5" w15:restartNumberingAfterBreak="0">
    <w:nsid w:val="00000017"/>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6" w15:restartNumberingAfterBreak="0">
    <w:nsid w:val="00000018"/>
    <w:multiLevelType w:val="multilevel"/>
    <w:tmpl w:val="00000011"/>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Arial" w:hAnsi="Arial" w:cs="Arial"/>
        <w:color w:val="000000"/>
        <w:sz w:val="18"/>
      </w:r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7" w15:restartNumberingAfterBreak="0">
    <w:nsid w:val="26816604"/>
    <w:multiLevelType w:val="hybridMultilevel"/>
    <w:tmpl w:val="E736B25E"/>
    <w:lvl w:ilvl="0" w:tplc="6FE8831A">
      <w:start w:val="1"/>
      <w:numFmt w:val="bullet"/>
      <w:lvlText w:val=""/>
      <w:lvlJc w:val="left"/>
      <w:pPr>
        <w:ind w:left="720" w:hanging="360"/>
      </w:pPr>
      <w:rPr>
        <w:rFonts w:ascii="Symbol" w:hAnsi="Symbol" w:hint="default"/>
      </w:rPr>
    </w:lvl>
    <w:lvl w:ilvl="1" w:tplc="0E0C4750" w:tentative="1">
      <w:start w:val="1"/>
      <w:numFmt w:val="bullet"/>
      <w:lvlText w:val="o"/>
      <w:lvlJc w:val="left"/>
      <w:pPr>
        <w:ind w:left="1440" w:hanging="360"/>
      </w:pPr>
      <w:rPr>
        <w:rFonts w:ascii="Courier New" w:hAnsi="Courier New" w:cs="Courier New" w:hint="default"/>
      </w:rPr>
    </w:lvl>
    <w:lvl w:ilvl="2" w:tplc="173A8F46" w:tentative="1">
      <w:start w:val="1"/>
      <w:numFmt w:val="bullet"/>
      <w:lvlText w:val=""/>
      <w:lvlJc w:val="left"/>
      <w:pPr>
        <w:ind w:left="2160" w:hanging="360"/>
      </w:pPr>
      <w:rPr>
        <w:rFonts w:ascii="Wingdings" w:hAnsi="Wingdings" w:hint="default"/>
      </w:rPr>
    </w:lvl>
    <w:lvl w:ilvl="3" w:tplc="073A7910" w:tentative="1">
      <w:start w:val="1"/>
      <w:numFmt w:val="bullet"/>
      <w:lvlText w:val=""/>
      <w:lvlJc w:val="left"/>
      <w:pPr>
        <w:ind w:left="2880" w:hanging="360"/>
      </w:pPr>
      <w:rPr>
        <w:rFonts w:ascii="Symbol" w:hAnsi="Symbol" w:hint="default"/>
      </w:rPr>
    </w:lvl>
    <w:lvl w:ilvl="4" w:tplc="D8EE9EC0" w:tentative="1">
      <w:start w:val="1"/>
      <w:numFmt w:val="bullet"/>
      <w:lvlText w:val="o"/>
      <w:lvlJc w:val="left"/>
      <w:pPr>
        <w:ind w:left="3600" w:hanging="360"/>
      </w:pPr>
      <w:rPr>
        <w:rFonts w:ascii="Courier New" w:hAnsi="Courier New" w:cs="Courier New" w:hint="default"/>
      </w:rPr>
    </w:lvl>
    <w:lvl w:ilvl="5" w:tplc="96549E4A" w:tentative="1">
      <w:start w:val="1"/>
      <w:numFmt w:val="bullet"/>
      <w:lvlText w:val=""/>
      <w:lvlJc w:val="left"/>
      <w:pPr>
        <w:ind w:left="4320" w:hanging="360"/>
      </w:pPr>
      <w:rPr>
        <w:rFonts w:ascii="Wingdings" w:hAnsi="Wingdings" w:hint="default"/>
      </w:rPr>
    </w:lvl>
    <w:lvl w:ilvl="6" w:tplc="EA38EFB6" w:tentative="1">
      <w:start w:val="1"/>
      <w:numFmt w:val="bullet"/>
      <w:lvlText w:val=""/>
      <w:lvlJc w:val="left"/>
      <w:pPr>
        <w:ind w:left="5040" w:hanging="360"/>
      </w:pPr>
      <w:rPr>
        <w:rFonts w:ascii="Symbol" w:hAnsi="Symbol" w:hint="default"/>
      </w:rPr>
    </w:lvl>
    <w:lvl w:ilvl="7" w:tplc="AB7E70B8" w:tentative="1">
      <w:start w:val="1"/>
      <w:numFmt w:val="bullet"/>
      <w:lvlText w:val="o"/>
      <w:lvlJc w:val="left"/>
      <w:pPr>
        <w:ind w:left="5760" w:hanging="360"/>
      </w:pPr>
      <w:rPr>
        <w:rFonts w:ascii="Courier New" w:hAnsi="Courier New" w:cs="Courier New" w:hint="default"/>
      </w:rPr>
    </w:lvl>
    <w:lvl w:ilvl="8" w:tplc="A588C8FC" w:tentative="1">
      <w:start w:val="1"/>
      <w:numFmt w:val="bullet"/>
      <w:lvlText w:val=""/>
      <w:lvlJc w:val="left"/>
      <w:pPr>
        <w:ind w:left="6480" w:hanging="360"/>
      </w:pPr>
      <w:rPr>
        <w:rFonts w:ascii="Wingdings" w:hAnsi="Wingdings" w:hint="default"/>
      </w:rPr>
    </w:lvl>
  </w:abstractNum>
  <w:abstractNum w:abstractNumId="18" w15:restartNumberingAfterBreak="0">
    <w:nsid w:val="2997470C"/>
    <w:multiLevelType w:val="hybridMultilevel"/>
    <w:tmpl w:val="22DA54C0"/>
    <w:lvl w:ilvl="0" w:tplc="17C0773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42117"/>
    <w:multiLevelType w:val="hybridMultilevel"/>
    <w:tmpl w:val="3DF094DE"/>
    <w:lvl w:ilvl="0" w:tplc="17C07732">
      <w:start w:val="4"/>
      <w:numFmt w:val="bullet"/>
      <w:lvlText w:val=""/>
      <w:lvlJc w:val="left"/>
      <w:pPr>
        <w:ind w:left="360" w:hanging="360"/>
      </w:pPr>
      <w:rPr>
        <w:rFonts w:ascii="Symbol" w:eastAsiaTheme="minorHAnsi" w:hAnsi="Symbol" w:cs="Arial" w:hint="default"/>
      </w:rPr>
    </w:lvl>
    <w:lvl w:ilvl="1" w:tplc="83E2080A">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04FD8"/>
    <w:multiLevelType w:val="hybridMultilevel"/>
    <w:tmpl w:val="21866C22"/>
    <w:lvl w:ilvl="0" w:tplc="B0DEC0F0">
      <w:start w:val="1"/>
      <w:numFmt w:val="bullet"/>
      <w:lvlText w:val=""/>
      <w:lvlJc w:val="left"/>
      <w:pPr>
        <w:ind w:left="720" w:hanging="360"/>
      </w:pPr>
      <w:rPr>
        <w:rFonts w:ascii="Symbol" w:hAnsi="Symbol" w:hint="default"/>
      </w:rPr>
    </w:lvl>
    <w:lvl w:ilvl="1" w:tplc="4104B370" w:tentative="1">
      <w:start w:val="1"/>
      <w:numFmt w:val="bullet"/>
      <w:lvlText w:val="o"/>
      <w:lvlJc w:val="left"/>
      <w:pPr>
        <w:ind w:left="1440" w:hanging="360"/>
      </w:pPr>
      <w:rPr>
        <w:rFonts w:ascii="Courier New" w:hAnsi="Courier New" w:cs="Courier New" w:hint="default"/>
      </w:rPr>
    </w:lvl>
    <w:lvl w:ilvl="2" w:tplc="54886910" w:tentative="1">
      <w:start w:val="1"/>
      <w:numFmt w:val="bullet"/>
      <w:lvlText w:val=""/>
      <w:lvlJc w:val="left"/>
      <w:pPr>
        <w:ind w:left="2160" w:hanging="360"/>
      </w:pPr>
      <w:rPr>
        <w:rFonts w:ascii="Wingdings" w:hAnsi="Wingdings" w:hint="default"/>
      </w:rPr>
    </w:lvl>
    <w:lvl w:ilvl="3" w:tplc="FF282E7C" w:tentative="1">
      <w:start w:val="1"/>
      <w:numFmt w:val="bullet"/>
      <w:lvlText w:val=""/>
      <w:lvlJc w:val="left"/>
      <w:pPr>
        <w:ind w:left="2880" w:hanging="360"/>
      </w:pPr>
      <w:rPr>
        <w:rFonts w:ascii="Symbol" w:hAnsi="Symbol" w:hint="default"/>
      </w:rPr>
    </w:lvl>
    <w:lvl w:ilvl="4" w:tplc="B358CA9A" w:tentative="1">
      <w:start w:val="1"/>
      <w:numFmt w:val="bullet"/>
      <w:lvlText w:val="o"/>
      <w:lvlJc w:val="left"/>
      <w:pPr>
        <w:ind w:left="3600" w:hanging="360"/>
      </w:pPr>
      <w:rPr>
        <w:rFonts w:ascii="Courier New" w:hAnsi="Courier New" w:cs="Courier New" w:hint="default"/>
      </w:rPr>
    </w:lvl>
    <w:lvl w:ilvl="5" w:tplc="1E447730" w:tentative="1">
      <w:start w:val="1"/>
      <w:numFmt w:val="bullet"/>
      <w:lvlText w:val=""/>
      <w:lvlJc w:val="left"/>
      <w:pPr>
        <w:ind w:left="4320" w:hanging="360"/>
      </w:pPr>
      <w:rPr>
        <w:rFonts w:ascii="Wingdings" w:hAnsi="Wingdings" w:hint="default"/>
      </w:rPr>
    </w:lvl>
    <w:lvl w:ilvl="6" w:tplc="E458ABD4" w:tentative="1">
      <w:start w:val="1"/>
      <w:numFmt w:val="bullet"/>
      <w:lvlText w:val=""/>
      <w:lvlJc w:val="left"/>
      <w:pPr>
        <w:ind w:left="5040" w:hanging="360"/>
      </w:pPr>
      <w:rPr>
        <w:rFonts w:ascii="Symbol" w:hAnsi="Symbol" w:hint="default"/>
      </w:rPr>
    </w:lvl>
    <w:lvl w:ilvl="7" w:tplc="667656F2" w:tentative="1">
      <w:start w:val="1"/>
      <w:numFmt w:val="bullet"/>
      <w:lvlText w:val="o"/>
      <w:lvlJc w:val="left"/>
      <w:pPr>
        <w:ind w:left="5760" w:hanging="360"/>
      </w:pPr>
      <w:rPr>
        <w:rFonts w:ascii="Courier New" w:hAnsi="Courier New" w:cs="Courier New" w:hint="default"/>
      </w:rPr>
    </w:lvl>
    <w:lvl w:ilvl="8" w:tplc="D994A5DA" w:tentative="1">
      <w:start w:val="1"/>
      <w:numFmt w:val="bullet"/>
      <w:lvlText w:val=""/>
      <w:lvlJc w:val="left"/>
      <w:pPr>
        <w:ind w:left="6480" w:hanging="360"/>
      </w:pPr>
      <w:rPr>
        <w:rFonts w:ascii="Wingdings" w:hAnsi="Wingdings" w:hint="default"/>
      </w:rPr>
    </w:lvl>
  </w:abstractNum>
  <w:abstractNum w:abstractNumId="21" w15:restartNumberingAfterBreak="0">
    <w:nsid w:val="3F1C5976"/>
    <w:multiLevelType w:val="multilevel"/>
    <w:tmpl w:val="6CEAA828"/>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171F1"/>
    <w:multiLevelType w:val="hybridMultilevel"/>
    <w:tmpl w:val="E348F436"/>
    <w:lvl w:ilvl="0" w:tplc="FF0298D2">
      <w:start w:val="1"/>
      <w:numFmt w:val="decimal"/>
      <w:lvlText w:val="(%1)"/>
      <w:lvlJc w:val="left"/>
      <w:pPr>
        <w:ind w:left="720" w:hanging="360"/>
      </w:pPr>
      <w:rPr>
        <w:rFonts w:hint="default"/>
      </w:rPr>
    </w:lvl>
    <w:lvl w:ilvl="1" w:tplc="2DC2CE44" w:tentative="1">
      <w:start w:val="1"/>
      <w:numFmt w:val="lowerLetter"/>
      <w:lvlText w:val="%2."/>
      <w:lvlJc w:val="left"/>
      <w:pPr>
        <w:ind w:left="1440" w:hanging="360"/>
      </w:pPr>
    </w:lvl>
    <w:lvl w:ilvl="2" w:tplc="BAA29270" w:tentative="1">
      <w:start w:val="1"/>
      <w:numFmt w:val="lowerRoman"/>
      <w:lvlText w:val="%3."/>
      <w:lvlJc w:val="right"/>
      <w:pPr>
        <w:ind w:left="2160" w:hanging="180"/>
      </w:pPr>
    </w:lvl>
    <w:lvl w:ilvl="3" w:tplc="7DBC0D10" w:tentative="1">
      <w:start w:val="1"/>
      <w:numFmt w:val="decimal"/>
      <w:lvlText w:val="%4."/>
      <w:lvlJc w:val="left"/>
      <w:pPr>
        <w:ind w:left="2880" w:hanging="360"/>
      </w:pPr>
    </w:lvl>
    <w:lvl w:ilvl="4" w:tplc="65284FA2" w:tentative="1">
      <w:start w:val="1"/>
      <w:numFmt w:val="lowerLetter"/>
      <w:lvlText w:val="%5."/>
      <w:lvlJc w:val="left"/>
      <w:pPr>
        <w:ind w:left="3600" w:hanging="360"/>
      </w:pPr>
    </w:lvl>
    <w:lvl w:ilvl="5" w:tplc="86F2861A" w:tentative="1">
      <w:start w:val="1"/>
      <w:numFmt w:val="lowerRoman"/>
      <w:lvlText w:val="%6."/>
      <w:lvlJc w:val="right"/>
      <w:pPr>
        <w:ind w:left="4320" w:hanging="180"/>
      </w:pPr>
    </w:lvl>
    <w:lvl w:ilvl="6" w:tplc="F2DA234A" w:tentative="1">
      <w:start w:val="1"/>
      <w:numFmt w:val="decimal"/>
      <w:lvlText w:val="%7."/>
      <w:lvlJc w:val="left"/>
      <w:pPr>
        <w:ind w:left="5040" w:hanging="360"/>
      </w:pPr>
    </w:lvl>
    <w:lvl w:ilvl="7" w:tplc="543C1B6C" w:tentative="1">
      <w:start w:val="1"/>
      <w:numFmt w:val="lowerLetter"/>
      <w:lvlText w:val="%8."/>
      <w:lvlJc w:val="left"/>
      <w:pPr>
        <w:ind w:left="5760" w:hanging="360"/>
      </w:pPr>
    </w:lvl>
    <w:lvl w:ilvl="8" w:tplc="56DEDF9E" w:tentative="1">
      <w:start w:val="1"/>
      <w:numFmt w:val="lowerRoman"/>
      <w:lvlText w:val="%9."/>
      <w:lvlJc w:val="right"/>
      <w:pPr>
        <w:ind w:left="6480" w:hanging="180"/>
      </w:pPr>
    </w:lvl>
  </w:abstractNum>
  <w:abstractNum w:abstractNumId="23" w15:restartNumberingAfterBreak="0">
    <w:nsid w:val="45A467BA"/>
    <w:multiLevelType w:val="multilevel"/>
    <w:tmpl w:val="886AAC6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54356"/>
    <w:multiLevelType w:val="hybridMultilevel"/>
    <w:tmpl w:val="122A3E5E"/>
    <w:name w:val="UnnamedList67506"/>
    <w:lvl w:ilvl="0" w:tplc="1A185EF8">
      <w:start w:val="1"/>
      <w:numFmt w:val="decimal"/>
      <w:lvlText w:val="(%1)"/>
      <w:lvlJc w:val="left"/>
      <w:pPr>
        <w:ind w:left="1300" w:hanging="1080"/>
      </w:pPr>
      <w:rPr>
        <w:rFonts w:ascii="Times New Roman" w:eastAsia="Times New Roman" w:hAnsi="Times New Roman" w:cs="Times New Roman" w:hint="default"/>
        <w:b w:val="0"/>
        <w:bCs w:val="0"/>
        <w:i w:val="0"/>
        <w:iCs w:val="0"/>
        <w:spacing w:val="-1"/>
        <w:w w:val="100"/>
        <w:sz w:val="24"/>
        <w:szCs w:val="24"/>
        <w:lang w:val="en-US" w:eastAsia="en-US" w:bidi="ar-SA"/>
      </w:rPr>
    </w:lvl>
    <w:lvl w:ilvl="1" w:tplc="BCC6AC28">
      <w:start w:val="1"/>
      <w:numFmt w:val="lowerLetter"/>
      <w:lvlText w:val="(%2)"/>
      <w:lvlJc w:val="left"/>
      <w:pPr>
        <w:ind w:left="2020" w:hanging="72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2" w:tplc="FB381D30">
      <w:start w:val="1"/>
      <w:numFmt w:val="lowerRoman"/>
      <w:lvlText w:val="(%3)"/>
      <w:lvlJc w:val="left"/>
      <w:pPr>
        <w:ind w:left="27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0F5C8D6C">
      <w:start w:val="1"/>
      <w:numFmt w:val="upperLetter"/>
      <w:lvlText w:val="%4."/>
      <w:lvlJc w:val="left"/>
      <w:pPr>
        <w:ind w:left="34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tplc="0E0C4840">
      <w:numFmt w:val="bullet"/>
      <w:lvlText w:val="•"/>
      <w:lvlJc w:val="left"/>
      <w:pPr>
        <w:ind w:left="4354" w:hanging="720"/>
      </w:pPr>
      <w:rPr>
        <w:rFonts w:hint="default"/>
        <w:lang w:val="en-US" w:eastAsia="en-US" w:bidi="ar-SA"/>
      </w:rPr>
    </w:lvl>
    <w:lvl w:ilvl="5" w:tplc="3140ABC4">
      <w:numFmt w:val="bullet"/>
      <w:lvlText w:val="•"/>
      <w:lvlJc w:val="left"/>
      <w:pPr>
        <w:ind w:left="5248" w:hanging="720"/>
      </w:pPr>
      <w:rPr>
        <w:rFonts w:hint="default"/>
        <w:lang w:val="en-US" w:eastAsia="en-US" w:bidi="ar-SA"/>
      </w:rPr>
    </w:lvl>
    <w:lvl w:ilvl="6" w:tplc="022C9AB2">
      <w:numFmt w:val="bullet"/>
      <w:lvlText w:val="•"/>
      <w:lvlJc w:val="left"/>
      <w:pPr>
        <w:ind w:left="6142" w:hanging="720"/>
      </w:pPr>
      <w:rPr>
        <w:rFonts w:hint="default"/>
        <w:lang w:val="en-US" w:eastAsia="en-US" w:bidi="ar-SA"/>
      </w:rPr>
    </w:lvl>
    <w:lvl w:ilvl="7" w:tplc="1D8E55AA">
      <w:numFmt w:val="bullet"/>
      <w:lvlText w:val="•"/>
      <w:lvlJc w:val="left"/>
      <w:pPr>
        <w:ind w:left="7037" w:hanging="720"/>
      </w:pPr>
      <w:rPr>
        <w:rFonts w:hint="default"/>
        <w:lang w:val="en-US" w:eastAsia="en-US" w:bidi="ar-SA"/>
      </w:rPr>
    </w:lvl>
    <w:lvl w:ilvl="8" w:tplc="F3407910">
      <w:numFmt w:val="bullet"/>
      <w:lvlText w:val="•"/>
      <w:lvlJc w:val="left"/>
      <w:pPr>
        <w:ind w:left="7931" w:hanging="720"/>
      </w:pPr>
      <w:rPr>
        <w:rFonts w:hint="default"/>
        <w:lang w:val="en-US" w:eastAsia="en-US" w:bidi="ar-SA"/>
      </w:rPr>
    </w:lvl>
  </w:abstractNum>
  <w:abstractNum w:abstractNumId="25" w15:restartNumberingAfterBreak="0">
    <w:nsid w:val="5DD56D9A"/>
    <w:multiLevelType w:val="multilevel"/>
    <w:tmpl w:val="C2FCEFA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8F162B"/>
    <w:multiLevelType w:val="hybridMultilevel"/>
    <w:tmpl w:val="52002364"/>
    <w:lvl w:ilvl="0" w:tplc="17C07732">
      <w:start w:val="4"/>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B328D"/>
    <w:multiLevelType w:val="hybridMultilevel"/>
    <w:tmpl w:val="FC04CD4A"/>
    <w:lvl w:ilvl="0" w:tplc="9CC26E7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464E9"/>
    <w:multiLevelType w:val="hybridMultilevel"/>
    <w:tmpl w:val="2370F5A8"/>
    <w:lvl w:ilvl="0" w:tplc="17C07732">
      <w:start w:val="4"/>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14DAC"/>
    <w:multiLevelType w:val="hybridMultilevel"/>
    <w:tmpl w:val="3AC4F00A"/>
    <w:lvl w:ilvl="0" w:tplc="0C6E4FAE">
      <w:start w:val="4"/>
      <w:numFmt w:val="bullet"/>
      <w:lvlText w:val=""/>
      <w:lvlJc w:val="left"/>
      <w:pPr>
        <w:ind w:left="720" w:hanging="360"/>
      </w:pPr>
      <w:rPr>
        <w:rFonts w:ascii="Symbol" w:eastAsia="Arial"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90155">
    <w:abstractNumId w:val="0"/>
  </w:num>
  <w:num w:numId="2" w16cid:durableId="2074111533">
    <w:abstractNumId w:val="1"/>
  </w:num>
  <w:num w:numId="3" w16cid:durableId="1154569426">
    <w:abstractNumId w:val="2"/>
  </w:num>
  <w:num w:numId="4" w16cid:durableId="487213831">
    <w:abstractNumId w:val="3"/>
  </w:num>
  <w:num w:numId="5" w16cid:durableId="1086609559">
    <w:abstractNumId w:val="4"/>
  </w:num>
  <w:num w:numId="6" w16cid:durableId="82803432">
    <w:abstractNumId w:val="5"/>
  </w:num>
  <w:num w:numId="7" w16cid:durableId="479465657">
    <w:abstractNumId w:val="6"/>
  </w:num>
  <w:num w:numId="8" w16cid:durableId="363406501">
    <w:abstractNumId w:val="7"/>
  </w:num>
  <w:num w:numId="9" w16cid:durableId="477036962">
    <w:abstractNumId w:val="8"/>
  </w:num>
  <w:num w:numId="10" w16cid:durableId="525559699">
    <w:abstractNumId w:val="9"/>
  </w:num>
  <w:num w:numId="11" w16cid:durableId="1889612663">
    <w:abstractNumId w:val="10"/>
  </w:num>
  <w:num w:numId="12" w16cid:durableId="1369599244">
    <w:abstractNumId w:val="11"/>
  </w:num>
  <w:num w:numId="13" w16cid:durableId="233904237">
    <w:abstractNumId w:val="12"/>
  </w:num>
  <w:num w:numId="14" w16cid:durableId="601954340">
    <w:abstractNumId w:val="13"/>
  </w:num>
  <w:num w:numId="15" w16cid:durableId="1706910585">
    <w:abstractNumId w:val="14"/>
  </w:num>
  <w:num w:numId="16" w16cid:durableId="1996909967">
    <w:abstractNumId w:val="15"/>
  </w:num>
  <w:num w:numId="17" w16cid:durableId="1061513981">
    <w:abstractNumId w:val="16"/>
  </w:num>
  <w:num w:numId="18" w16cid:durableId="404378588">
    <w:abstractNumId w:val="23"/>
  </w:num>
  <w:num w:numId="19" w16cid:durableId="2132236109">
    <w:abstractNumId w:val="25"/>
  </w:num>
  <w:num w:numId="20" w16cid:durableId="1536428473">
    <w:abstractNumId w:val="21"/>
  </w:num>
  <w:num w:numId="21" w16cid:durableId="1685981671">
    <w:abstractNumId w:val="17"/>
  </w:num>
  <w:num w:numId="22" w16cid:durableId="1549300981">
    <w:abstractNumId w:val="22"/>
  </w:num>
  <w:num w:numId="23" w16cid:durableId="1693218537">
    <w:abstractNumId w:val="18"/>
  </w:num>
  <w:num w:numId="24" w16cid:durableId="783694591">
    <w:abstractNumId w:val="29"/>
  </w:num>
  <w:num w:numId="25" w16cid:durableId="2133478039">
    <w:abstractNumId w:val="20"/>
  </w:num>
  <w:num w:numId="26" w16cid:durableId="1809859559">
    <w:abstractNumId w:val="19"/>
  </w:num>
  <w:num w:numId="27" w16cid:durableId="2068453282">
    <w:abstractNumId w:val="27"/>
  </w:num>
  <w:num w:numId="28" w16cid:durableId="1426271460">
    <w:abstractNumId w:val="26"/>
  </w:num>
  <w:num w:numId="29" w16cid:durableId="206806883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FA3"/>
    <w:rsid w:val="0000461B"/>
    <w:rsid w:val="00004F67"/>
    <w:rsid w:val="000057EF"/>
    <w:rsid w:val="00011750"/>
    <w:rsid w:val="00011877"/>
    <w:rsid w:val="00011B0F"/>
    <w:rsid w:val="00013040"/>
    <w:rsid w:val="000167E2"/>
    <w:rsid w:val="00016958"/>
    <w:rsid w:val="00016E31"/>
    <w:rsid w:val="0001713E"/>
    <w:rsid w:val="00017189"/>
    <w:rsid w:val="00017327"/>
    <w:rsid w:val="000202A7"/>
    <w:rsid w:val="00022446"/>
    <w:rsid w:val="00022934"/>
    <w:rsid w:val="000235A5"/>
    <w:rsid w:val="0002612E"/>
    <w:rsid w:val="00026301"/>
    <w:rsid w:val="000305CA"/>
    <w:rsid w:val="0003600F"/>
    <w:rsid w:val="00036CDE"/>
    <w:rsid w:val="00036E9D"/>
    <w:rsid w:val="0003741D"/>
    <w:rsid w:val="00040B6F"/>
    <w:rsid w:val="0004146A"/>
    <w:rsid w:val="00041769"/>
    <w:rsid w:val="00041F35"/>
    <w:rsid w:val="0004347B"/>
    <w:rsid w:val="000439DE"/>
    <w:rsid w:val="0004419C"/>
    <w:rsid w:val="00047D21"/>
    <w:rsid w:val="00051783"/>
    <w:rsid w:val="0005231F"/>
    <w:rsid w:val="0005471F"/>
    <w:rsid w:val="00055B3A"/>
    <w:rsid w:val="000560DE"/>
    <w:rsid w:val="00056CC9"/>
    <w:rsid w:val="000611C7"/>
    <w:rsid w:val="0006218A"/>
    <w:rsid w:val="00064BC7"/>
    <w:rsid w:val="00066248"/>
    <w:rsid w:val="00066668"/>
    <w:rsid w:val="000677D1"/>
    <w:rsid w:val="00067D3F"/>
    <w:rsid w:val="0007089E"/>
    <w:rsid w:val="00071500"/>
    <w:rsid w:val="00072330"/>
    <w:rsid w:val="000728F8"/>
    <w:rsid w:val="00072960"/>
    <w:rsid w:val="000767CC"/>
    <w:rsid w:val="00077E3C"/>
    <w:rsid w:val="00081905"/>
    <w:rsid w:val="000830D5"/>
    <w:rsid w:val="00087920"/>
    <w:rsid w:val="00092973"/>
    <w:rsid w:val="00092CBC"/>
    <w:rsid w:val="00092FEB"/>
    <w:rsid w:val="00094179"/>
    <w:rsid w:val="00094766"/>
    <w:rsid w:val="000952E6"/>
    <w:rsid w:val="000954D5"/>
    <w:rsid w:val="00097668"/>
    <w:rsid w:val="00097F15"/>
    <w:rsid w:val="000A0138"/>
    <w:rsid w:val="000A066D"/>
    <w:rsid w:val="000A297A"/>
    <w:rsid w:val="000A3D84"/>
    <w:rsid w:val="000A420B"/>
    <w:rsid w:val="000A76F0"/>
    <w:rsid w:val="000B04C7"/>
    <w:rsid w:val="000B08B4"/>
    <w:rsid w:val="000B0B1B"/>
    <w:rsid w:val="000B0C50"/>
    <w:rsid w:val="000B3738"/>
    <w:rsid w:val="000B3D99"/>
    <w:rsid w:val="000B5CE5"/>
    <w:rsid w:val="000C05C3"/>
    <w:rsid w:val="000C0BF5"/>
    <w:rsid w:val="000C127A"/>
    <w:rsid w:val="000C25FA"/>
    <w:rsid w:val="000C2847"/>
    <w:rsid w:val="000C4ADC"/>
    <w:rsid w:val="000C5C52"/>
    <w:rsid w:val="000C61A6"/>
    <w:rsid w:val="000C64CB"/>
    <w:rsid w:val="000C783C"/>
    <w:rsid w:val="000D2065"/>
    <w:rsid w:val="000D3120"/>
    <w:rsid w:val="000D3F7F"/>
    <w:rsid w:val="000D4714"/>
    <w:rsid w:val="000D4D5B"/>
    <w:rsid w:val="000D515E"/>
    <w:rsid w:val="000D59C7"/>
    <w:rsid w:val="000D7CE0"/>
    <w:rsid w:val="000E2DDC"/>
    <w:rsid w:val="000E2FB7"/>
    <w:rsid w:val="000E3154"/>
    <w:rsid w:val="000E3EF9"/>
    <w:rsid w:val="000E4D37"/>
    <w:rsid w:val="000E66CF"/>
    <w:rsid w:val="000E7BBB"/>
    <w:rsid w:val="000F0BDB"/>
    <w:rsid w:val="000F3A13"/>
    <w:rsid w:val="000F3AA1"/>
    <w:rsid w:val="000F4B3C"/>
    <w:rsid w:val="000F4B47"/>
    <w:rsid w:val="000F5532"/>
    <w:rsid w:val="000F6249"/>
    <w:rsid w:val="000F68BC"/>
    <w:rsid w:val="000F6B3C"/>
    <w:rsid w:val="000F764E"/>
    <w:rsid w:val="000F7BBC"/>
    <w:rsid w:val="000F7E66"/>
    <w:rsid w:val="00100547"/>
    <w:rsid w:val="00101E6F"/>
    <w:rsid w:val="00102FDC"/>
    <w:rsid w:val="001047A2"/>
    <w:rsid w:val="00104BA7"/>
    <w:rsid w:val="001056DB"/>
    <w:rsid w:val="00105808"/>
    <w:rsid w:val="00105C93"/>
    <w:rsid w:val="00106D8C"/>
    <w:rsid w:val="00107770"/>
    <w:rsid w:val="0011077D"/>
    <w:rsid w:val="00112A7E"/>
    <w:rsid w:val="00113090"/>
    <w:rsid w:val="0011360D"/>
    <w:rsid w:val="0011603F"/>
    <w:rsid w:val="00116696"/>
    <w:rsid w:val="001168B2"/>
    <w:rsid w:val="00117760"/>
    <w:rsid w:val="00117EFF"/>
    <w:rsid w:val="001205B6"/>
    <w:rsid w:val="001209D7"/>
    <w:rsid w:val="00121014"/>
    <w:rsid w:val="00122C25"/>
    <w:rsid w:val="001232D3"/>
    <w:rsid w:val="0012370B"/>
    <w:rsid w:val="00123822"/>
    <w:rsid w:val="001239DF"/>
    <w:rsid w:val="00123BD7"/>
    <w:rsid w:val="001243D9"/>
    <w:rsid w:val="001246FD"/>
    <w:rsid w:val="00124E60"/>
    <w:rsid w:val="00125F14"/>
    <w:rsid w:val="0013141D"/>
    <w:rsid w:val="00131C27"/>
    <w:rsid w:val="00131DC3"/>
    <w:rsid w:val="00132D54"/>
    <w:rsid w:val="00133C03"/>
    <w:rsid w:val="00134D73"/>
    <w:rsid w:val="00135036"/>
    <w:rsid w:val="00135792"/>
    <w:rsid w:val="00135804"/>
    <w:rsid w:val="00135BE8"/>
    <w:rsid w:val="00136159"/>
    <w:rsid w:val="00136168"/>
    <w:rsid w:val="0014170C"/>
    <w:rsid w:val="00142FC2"/>
    <w:rsid w:val="00143307"/>
    <w:rsid w:val="00146FD7"/>
    <w:rsid w:val="001515CA"/>
    <w:rsid w:val="001518AC"/>
    <w:rsid w:val="001518FC"/>
    <w:rsid w:val="001519F0"/>
    <w:rsid w:val="00151E28"/>
    <w:rsid w:val="00152032"/>
    <w:rsid w:val="0015214B"/>
    <w:rsid w:val="001524EF"/>
    <w:rsid w:val="00152BC6"/>
    <w:rsid w:val="001532A9"/>
    <w:rsid w:val="00156790"/>
    <w:rsid w:val="00157386"/>
    <w:rsid w:val="00157A5A"/>
    <w:rsid w:val="00160C16"/>
    <w:rsid w:val="00160E58"/>
    <w:rsid w:val="00162FBD"/>
    <w:rsid w:val="0016319B"/>
    <w:rsid w:val="00163597"/>
    <w:rsid w:val="00163E56"/>
    <w:rsid w:val="00166BC7"/>
    <w:rsid w:val="00167E39"/>
    <w:rsid w:val="001725F2"/>
    <w:rsid w:val="0017352B"/>
    <w:rsid w:val="00174BBC"/>
    <w:rsid w:val="00174D71"/>
    <w:rsid w:val="001764C0"/>
    <w:rsid w:val="001765E0"/>
    <w:rsid w:val="0017740F"/>
    <w:rsid w:val="00180889"/>
    <w:rsid w:val="0018142F"/>
    <w:rsid w:val="00181AE3"/>
    <w:rsid w:val="00181F68"/>
    <w:rsid w:val="0018203B"/>
    <w:rsid w:val="00184B56"/>
    <w:rsid w:val="001850E0"/>
    <w:rsid w:val="001858EC"/>
    <w:rsid w:val="00185FC3"/>
    <w:rsid w:val="00187CBD"/>
    <w:rsid w:val="00187E63"/>
    <w:rsid w:val="00190C75"/>
    <w:rsid w:val="001918E4"/>
    <w:rsid w:val="001943BF"/>
    <w:rsid w:val="001966AB"/>
    <w:rsid w:val="00196B2B"/>
    <w:rsid w:val="0019766A"/>
    <w:rsid w:val="00197CB8"/>
    <w:rsid w:val="001A0AA0"/>
    <w:rsid w:val="001A0B70"/>
    <w:rsid w:val="001A20BE"/>
    <w:rsid w:val="001A20EE"/>
    <w:rsid w:val="001A2600"/>
    <w:rsid w:val="001A4D75"/>
    <w:rsid w:val="001A52FD"/>
    <w:rsid w:val="001A5A64"/>
    <w:rsid w:val="001A5AF6"/>
    <w:rsid w:val="001A63ED"/>
    <w:rsid w:val="001A7854"/>
    <w:rsid w:val="001B0057"/>
    <w:rsid w:val="001B0237"/>
    <w:rsid w:val="001B1005"/>
    <w:rsid w:val="001B11F5"/>
    <w:rsid w:val="001B1344"/>
    <w:rsid w:val="001B1F85"/>
    <w:rsid w:val="001B32A4"/>
    <w:rsid w:val="001B3CA4"/>
    <w:rsid w:val="001B3F05"/>
    <w:rsid w:val="001B4871"/>
    <w:rsid w:val="001B4A86"/>
    <w:rsid w:val="001B6806"/>
    <w:rsid w:val="001C1869"/>
    <w:rsid w:val="001C2069"/>
    <w:rsid w:val="001C48DE"/>
    <w:rsid w:val="001C54E4"/>
    <w:rsid w:val="001C70E6"/>
    <w:rsid w:val="001D0831"/>
    <w:rsid w:val="001D0841"/>
    <w:rsid w:val="001D0DFD"/>
    <w:rsid w:val="001D126B"/>
    <w:rsid w:val="001D2A8E"/>
    <w:rsid w:val="001D3162"/>
    <w:rsid w:val="001D3CE2"/>
    <w:rsid w:val="001D6A37"/>
    <w:rsid w:val="001D7968"/>
    <w:rsid w:val="001E167B"/>
    <w:rsid w:val="001E1B07"/>
    <w:rsid w:val="001E20B8"/>
    <w:rsid w:val="001E25ED"/>
    <w:rsid w:val="001E2A08"/>
    <w:rsid w:val="001E3511"/>
    <w:rsid w:val="001E386E"/>
    <w:rsid w:val="001E3A82"/>
    <w:rsid w:val="001E45CA"/>
    <w:rsid w:val="001E6738"/>
    <w:rsid w:val="001E7114"/>
    <w:rsid w:val="001F177D"/>
    <w:rsid w:val="001F190A"/>
    <w:rsid w:val="001F20FC"/>
    <w:rsid w:val="001F2E0D"/>
    <w:rsid w:val="001F2E42"/>
    <w:rsid w:val="001F3AC8"/>
    <w:rsid w:val="001F48A6"/>
    <w:rsid w:val="001F4FB7"/>
    <w:rsid w:val="001F5847"/>
    <w:rsid w:val="001F6009"/>
    <w:rsid w:val="0020032C"/>
    <w:rsid w:val="00200E2B"/>
    <w:rsid w:val="00200E7A"/>
    <w:rsid w:val="0020120D"/>
    <w:rsid w:val="00205438"/>
    <w:rsid w:val="00205DF1"/>
    <w:rsid w:val="00205F78"/>
    <w:rsid w:val="0020624A"/>
    <w:rsid w:val="002112FC"/>
    <w:rsid w:val="00211E26"/>
    <w:rsid w:val="00212C7D"/>
    <w:rsid w:val="002144E0"/>
    <w:rsid w:val="0021509E"/>
    <w:rsid w:val="00216D07"/>
    <w:rsid w:val="002225E7"/>
    <w:rsid w:val="002230EF"/>
    <w:rsid w:val="002238E3"/>
    <w:rsid w:val="0022406F"/>
    <w:rsid w:val="002240A8"/>
    <w:rsid w:val="00224453"/>
    <w:rsid w:val="002247C6"/>
    <w:rsid w:val="00225B86"/>
    <w:rsid w:val="0022628C"/>
    <w:rsid w:val="0022697E"/>
    <w:rsid w:val="00226D94"/>
    <w:rsid w:val="00227548"/>
    <w:rsid w:val="00231B12"/>
    <w:rsid w:val="00232212"/>
    <w:rsid w:val="00232A7D"/>
    <w:rsid w:val="00233335"/>
    <w:rsid w:val="002336F8"/>
    <w:rsid w:val="0023589F"/>
    <w:rsid w:val="00235CA4"/>
    <w:rsid w:val="002371DB"/>
    <w:rsid w:val="00237946"/>
    <w:rsid w:val="00237AF8"/>
    <w:rsid w:val="002414A3"/>
    <w:rsid w:val="0024156E"/>
    <w:rsid w:val="002415D2"/>
    <w:rsid w:val="00241AE6"/>
    <w:rsid w:val="00243A75"/>
    <w:rsid w:val="002449D3"/>
    <w:rsid w:val="002450C5"/>
    <w:rsid w:val="0024633F"/>
    <w:rsid w:val="002468CC"/>
    <w:rsid w:val="00247AA7"/>
    <w:rsid w:val="00252EA9"/>
    <w:rsid w:val="002537E9"/>
    <w:rsid w:val="002538AB"/>
    <w:rsid w:val="00254111"/>
    <w:rsid w:val="002545E4"/>
    <w:rsid w:val="0025484A"/>
    <w:rsid w:val="00256DE2"/>
    <w:rsid w:val="0026006E"/>
    <w:rsid w:val="00261F1E"/>
    <w:rsid w:val="00261F25"/>
    <w:rsid w:val="0026251D"/>
    <w:rsid w:val="00263575"/>
    <w:rsid w:val="002635E8"/>
    <w:rsid w:val="00265470"/>
    <w:rsid w:val="002655B6"/>
    <w:rsid w:val="00267CC2"/>
    <w:rsid w:val="00271872"/>
    <w:rsid w:val="00271A39"/>
    <w:rsid w:val="002725E2"/>
    <w:rsid w:val="002729E0"/>
    <w:rsid w:val="002730C6"/>
    <w:rsid w:val="0027341F"/>
    <w:rsid w:val="00273B80"/>
    <w:rsid w:val="00274191"/>
    <w:rsid w:val="0027515B"/>
    <w:rsid w:val="00275A62"/>
    <w:rsid w:val="0027652F"/>
    <w:rsid w:val="00276F46"/>
    <w:rsid w:val="002801D1"/>
    <w:rsid w:val="00280281"/>
    <w:rsid w:val="00281FD9"/>
    <w:rsid w:val="00282177"/>
    <w:rsid w:val="00282BED"/>
    <w:rsid w:val="00284628"/>
    <w:rsid w:val="002849AA"/>
    <w:rsid w:val="00286769"/>
    <w:rsid w:val="00290031"/>
    <w:rsid w:val="00290B6D"/>
    <w:rsid w:val="00291358"/>
    <w:rsid w:val="0029491F"/>
    <w:rsid w:val="00294A71"/>
    <w:rsid w:val="00294FB8"/>
    <w:rsid w:val="002955E0"/>
    <w:rsid w:val="00295CF6"/>
    <w:rsid w:val="00296607"/>
    <w:rsid w:val="0029670E"/>
    <w:rsid w:val="00296920"/>
    <w:rsid w:val="00296D44"/>
    <w:rsid w:val="00296DF9"/>
    <w:rsid w:val="002A08BD"/>
    <w:rsid w:val="002A16C6"/>
    <w:rsid w:val="002A2C82"/>
    <w:rsid w:val="002A3657"/>
    <w:rsid w:val="002A42C9"/>
    <w:rsid w:val="002A7827"/>
    <w:rsid w:val="002B055B"/>
    <w:rsid w:val="002B16F1"/>
    <w:rsid w:val="002B2AB0"/>
    <w:rsid w:val="002B34B3"/>
    <w:rsid w:val="002B4A43"/>
    <w:rsid w:val="002C06B6"/>
    <w:rsid w:val="002C4BDD"/>
    <w:rsid w:val="002C587C"/>
    <w:rsid w:val="002C6009"/>
    <w:rsid w:val="002C6B33"/>
    <w:rsid w:val="002C753A"/>
    <w:rsid w:val="002D0BB7"/>
    <w:rsid w:val="002D2366"/>
    <w:rsid w:val="002D2608"/>
    <w:rsid w:val="002D2D62"/>
    <w:rsid w:val="002D2D84"/>
    <w:rsid w:val="002D2E01"/>
    <w:rsid w:val="002D36BC"/>
    <w:rsid w:val="002D391F"/>
    <w:rsid w:val="002D4939"/>
    <w:rsid w:val="002D53C1"/>
    <w:rsid w:val="002D634D"/>
    <w:rsid w:val="002D7BE1"/>
    <w:rsid w:val="002E1925"/>
    <w:rsid w:val="002E2EF9"/>
    <w:rsid w:val="002E62B9"/>
    <w:rsid w:val="002E7288"/>
    <w:rsid w:val="002F1FB5"/>
    <w:rsid w:val="002F2D5F"/>
    <w:rsid w:val="002F2FE1"/>
    <w:rsid w:val="002F48DC"/>
    <w:rsid w:val="002F5108"/>
    <w:rsid w:val="002F66E0"/>
    <w:rsid w:val="002F7631"/>
    <w:rsid w:val="002F76AC"/>
    <w:rsid w:val="00303D2A"/>
    <w:rsid w:val="00303DC8"/>
    <w:rsid w:val="00304B5C"/>
    <w:rsid w:val="00304B72"/>
    <w:rsid w:val="00304C88"/>
    <w:rsid w:val="00306600"/>
    <w:rsid w:val="00310327"/>
    <w:rsid w:val="0031095A"/>
    <w:rsid w:val="00311888"/>
    <w:rsid w:val="00311ACC"/>
    <w:rsid w:val="003159EE"/>
    <w:rsid w:val="003205A1"/>
    <w:rsid w:val="00320F27"/>
    <w:rsid w:val="00321FC3"/>
    <w:rsid w:val="00322D57"/>
    <w:rsid w:val="00323C96"/>
    <w:rsid w:val="0032498B"/>
    <w:rsid w:val="003249ED"/>
    <w:rsid w:val="00325BB8"/>
    <w:rsid w:val="00326083"/>
    <w:rsid w:val="00326D3B"/>
    <w:rsid w:val="00327097"/>
    <w:rsid w:val="0032756F"/>
    <w:rsid w:val="00330730"/>
    <w:rsid w:val="00331832"/>
    <w:rsid w:val="00334842"/>
    <w:rsid w:val="00337101"/>
    <w:rsid w:val="00337231"/>
    <w:rsid w:val="00340037"/>
    <w:rsid w:val="0034033B"/>
    <w:rsid w:val="0034200A"/>
    <w:rsid w:val="0034273F"/>
    <w:rsid w:val="00342D21"/>
    <w:rsid w:val="003438A7"/>
    <w:rsid w:val="00345733"/>
    <w:rsid w:val="00346E6A"/>
    <w:rsid w:val="003474D4"/>
    <w:rsid w:val="003505C3"/>
    <w:rsid w:val="00350806"/>
    <w:rsid w:val="00354C4D"/>
    <w:rsid w:val="0035744B"/>
    <w:rsid w:val="00357E79"/>
    <w:rsid w:val="003607E5"/>
    <w:rsid w:val="00361144"/>
    <w:rsid w:val="00361C2F"/>
    <w:rsid w:val="00365EB3"/>
    <w:rsid w:val="0036616E"/>
    <w:rsid w:val="0036668D"/>
    <w:rsid w:val="003723D7"/>
    <w:rsid w:val="003727C5"/>
    <w:rsid w:val="00373D8E"/>
    <w:rsid w:val="00374D63"/>
    <w:rsid w:val="00376F50"/>
    <w:rsid w:val="003809A1"/>
    <w:rsid w:val="0038246F"/>
    <w:rsid w:val="003824E3"/>
    <w:rsid w:val="00382858"/>
    <w:rsid w:val="003834E6"/>
    <w:rsid w:val="003835EA"/>
    <w:rsid w:val="00383BDE"/>
    <w:rsid w:val="00385103"/>
    <w:rsid w:val="00386292"/>
    <w:rsid w:val="003873F7"/>
    <w:rsid w:val="00390A10"/>
    <w:rsid w:val="00390F2A"/>
    <w:rsid w:val="00392974"/>
    <w:rsid w:val="00397173"/>
    <w:rsid w:val="003A0710"/>
    <w:rsid w:val="003A11EA"/>
    <w:rsid w:val="003A368D"/>
    <w:rsid w:val="003A4745"/>
    <w:rsid w:val="003A4C78"/>
    <w:rsid w:val="003B1558"/>
    <w:rsid w:val="003B22CA"/>
    <w:rsid w:val="003B2CF9"/>
    <w:rsid w:val="003B569B"/>
    <w:rsid w:val="003B5717"/>
    <w:rsid w:val="003B7E39"/>
    <w:rsid w:val="003C09EC"/>
    <w:rsid w:val="003C15A4"/>
    <w:rsid w:val="003C242B"/>
    <w:rsid w:val="003C2D0C"/>
    <w:rsid w:val="003C3CBE"/>
    <w:rsid w:val="003C444D"/>
    <w:rsid w:val="003C4553"/>
    <w:rsid w:val="003C4CFC"/>
    <w:rsid w:val="003C547D"/>
    <w:rsid w:val="003C59B6"/>
    <w:rsid w:val="003C6454"/>
    <w:rsid w:val="003C73F3"/>
    <w:rsid w:val="003C743E"/>
    <w:rsid w:val="003C7517"/>
    <w:rsid w:val="003C7563"/>
    <w:rsid w:val="003D163E"/>
    <w:rsid w:val="003D16CF"/>
    <w:rsid w:val="003D3002"/>
    <w:rsid w:val="003D36CD"/>
    <w:rsid w:val="003D4163"/>
    <w:rsid w:val="003D489B"/>
    <w:rsid w:val="003D49E0"/>
    <w:rsid w:val="003D4EB8"/>
    <w:rsid w:val="003D6A27"/>
    <w:rsid w:val="003E2B21"/>
    <w:rsid w:val="003E322B"/>
    <w:rsid w:val="003E38AD"/>
    <w:rsid w:val="003E48FC"/>
    <w:rsid w:val="003E4920"/>
    <w:rsid w:val="003E52C8"/>
    <w:rsid w:val="003E6F40"/>
    <w:rsid w:val="003E7004"/>
    <w:rsid w:val="003F175B"/>
    <w:rsid w:val="003F2081"/>
    <w:rsid w:val="003F216D"/>
    <w:rsid w:val="003F412B"/>
    <w:rsid w:val="003F6D0E"/>
    <w:rsid w:val="003F7FBC"/>
    <w:rsid w:val="0040161A"/>
    <w:rsid w:val="00401DCC"/>
    <w:rsid w:val="004026AA"/>
    <w:rsid w:val="00402AC1"/>
    <w:rsid w:val="00402DCA"/>
    <w:rsid w:val="00406353"/>
    <w:rsid w:val="00406542"/>
    <w:rsid w:val="004069B8"/>
    <w:rsid w:val="0041000D"/>
    <w:rsid w:val="00411412"/>
    <w:rsid w:val="00413232"/>
    <w:rsid w:val="004133CB"/>
    <w:rsid w:val="00413C45"/>
    <w:rsid w:val="00415253"/>
    <w:rsid w:val="00415482"/>
    <w:rsid w:val="00416675"/>
    <w:rsid w:val="004179D4"/>
    <w:rsid w:val="00420119"/>
    <w:rsid w:val="00421A56"/>
    <w:rsid w:val="00422D42"/>
    <w:rsid w:val="00423836"/>
    <w:rsid w:val="00426A15"/>
    <w:rsid w:val="0042715B"/>
    <w:rsid w:val="00427D40"/>
    <w:rsid w:val="0043074A"/>
    <w:rsid w:val="00430DA4"/>
    <w:rsid w:val="00432A17"/>
    <w:rsid w:val="00432C47"/>
    <w:rsid w:val="00433409"/>
    <w:rsid w:val="00434870"/>
    <w:rsid w:val="00441480"/>
    <w:rsid w:val="0044218F"/>
    <w:rsid w:val="00442650"/>
    <w:rsid w:val="00443189"/>
    <w:rsid w:val="00443F3B"/>
    <w:rsid w:val="00444D85"/>
    <w:rsid w:val="00445057"/>
    <w:rsid w:val="00445131"/>
    <w:rsid w:val="004452AB"/>
    <w:rsid w:val="00446F5B"/>
    <w:rsid w:val="00447181"/>
    <w:rsid w:val="00447F74"/>
    <w:rsid w:val="0045069B"/>
    <w:rsid w:val="00450AB0"/>
    <w:rsid w:val="00453270"/>
    <w:rsid w:val="00453841"/>
    <w:rsid w:val="004550B3"/>
    <w:rsid w:val="00455558"/>
    <w:rsid w:val="0045593A"/>
    <w:rsid w:val="00456D5D"/>
    <w:rsid w:val="004571CB"/>
    <w:rsid w:val="00457288"/>
    <w:rsid w:val="004572C8"/>
    <w:rsid w:val="00457452"/>
    <w:rsid w:val="0046038A"/>
    <w:rsid w:val="004635C9"/>
    <w:rsid w:val="00463919"/>
    <w:rsid w:val="00465A42"/>
    <w:rsid w:val="00466BB1"/>
    <w:rsid w:val="004672D9"/>
    <w:rsid w:val="00467C16"/>
    <w:rsid w:val="004702E6"/>
    <w:rsid w:val="004703EB"/>
    <w:rsid w:val="00471774"/>
    <w:rsid w:val="004730D6"/>
    <w:rsid w:val="00473C99"/>
    <w:rsid w:val="00475206"/>
    <w:rsid w:val="004755E5"/>
    <w:rsid w:val="00475AA4"/>
    <w:rsid w:val="00475B86"/>
    <w:rsid w:val="00476D52"/>
    <w:rsid w:val="0047770C"/>
    <w:rsid w:val="00480692"/>
    <w:rsid w:val="00480FF0"/>
    <w:rsid w:val="004816C9"/>
    <w:rsid w:val="0048174C"/>
    <w:rsid w:val="00482185"/>
    <w:rsid w:val="004839EF"/>
    <w:rsid w:val="00483C20"/>
    <w:rsid w:val="00484357"/>
    <w:rsid w:val="00484886"/>
    <w:rsid w:val="00485CA1"/>
    <w:rsid w:val="00486A71"/>
    <w:rsid w:val="00487BEE"/>
    <w:rsid w:val="00487EC2"/>
    <w:rsid w:val="004903CB"/>
    <w:rsid w:val="00490F8E"/>
    <w:rsid w:val="00491133"/>
    <w:rsid w:val="004924AD"/>
    <w:rsid w:val="00493384"/>
    <w:rsid w:val="004936E2"/>
    <w:rsid w:val="004937D8"/>
    <w:rsid w:val="00493D06"/>
    <w:rsid w:val="00493D7A"/>
    <w:rsid w:val="00493F4C"/>
    <w:rsid w:val="00494237"/>
    <w:rsid w:val="004975AC"/>
    <w:rsid w:val="004A0A28"/>
    <w:rsid w:val="004A170D"/>
    <w:rsid w:val="004A1BCB"/>
    <w:rsid w:val="004A2709"/>
    <w:rsid w:val="004A2DFD"/>
    <w:rsid w:val="004A2F18"/>
    <w:rsid w:val="004A32DD"/>
    <w:rsid w:val="004A41FE"/>
    <w:rsid w:val="004A454D"/>
    <w:rsid w:val="004A5926"/>
    <w:rsid w:val="004A5A7D"/>
    <w:rsid w:val="004A5B90"/>
    <w:rsid w:val="004A5CD8"/>
    <w:rsid w:val="004A72B3"/>
    <w:rsid w:val="004B0B97"/>
    <w:rsid w:val="004B0E3C"/>
    <w:rsid w:val="004B1926"/>
    <w:rsid w:val="004B329B"/>
    <w:rsid w:val="004B32D6"/>
    <w:rsid w:val="004B46A2"/>
    <w:rsid w:val="004B4FDB"/>
    <w:rsid w:val="004B7D5F"/>
    <w:rsid w:val="004C369F"/>
    <w:rsid w:val="004C66D6"/>
    <w:rsid w:val="004D05E4"/>
    <w:rsid w:val="004D15F7"/>
    <w:rsid w:val="004D1D29"/>
    <w:rsid w:val="004D2640"/>
    <w:rsid w:val="004D278D"/>
    <w:rsid w:val="004D38F3"/>
    <w:rsid w:val="004D6E32"/>
    <w:rsid w:val="004E013F"/>
    <w:rsid w:val="004E10CD"/>
    <w:rsid w:val="004E17BB"/>
    <w:rsid w:val="004E1D6F"/>
    <w:rsid w:val="004E2055"/>
    <w:rsid w:val="004E2A3F"/>
    <w:rsid w:val="004E5042"/>
    <w:rsid w:val="004E5302"/>
    <w:rsid w:val="004F02E4"/>
    <w:rsid w:val="004F0983"/>
    <w:rsid w:val="004F1206"/>
    <w:rsid w:val="004F2357"/>
    <w:rsid w:val="004F469D"/>
    <w:rsid w:val="004F58BA"/>
    <w:rsid w:val="004F5ECB"/>
    <w:rsid w:val="004F6A2A"/>
    <w:rsid w:val="00500224"/>
    <w:rsid w:val="00501E4B"/>
    <w:rsid w:val="00503577"/>
    <w:rsid w:val="00505EAE"/>
    <w:rsid w:val="0050722B"/>
    <w:rsid w:val="00507347"/>
    <w:rsid w:val="005078E9"/>
    <w:rsid w:val="00510B59"/>
    <w:rsid w:val="00512B56"/>
    <w:rsid w:val="00513EFF"/>
    <w:rsid w:val="00514D04"/>
    <w:rsid w:val="00515162"/>
    <w:rsid w:val="00516046"/>
    <w:rsid w:val="0051717F"/>
    <w:rsid w:val="0051778D"/>
    <w:rsid w:val="00517CEC"/>
    <w:rsid w:val="00517EA9"/>
    <w:rsid w:val="005212D2"/>
    <w:rsid w:val="005219B2"/>
    <w:rsid w:val="00522B51"/>
    <w:rsid w:val="00525A4C"/>
    <w:rsid w:val="005263C3"/>
    <w:rsid w:val="00530F74"/>
    <w:rsid w:val="005325CE"/>
    <w:rsid w:val="00534B11"/>
    <w:rsid w:val="005369C8"/>
    <w:rsid w:val="005371D0"/>
    <w:rsid w:val="005409BB"/>
    <w:rsid w:val="00541766"/>
    <w:rsid w:val="00545437"/>
    <w:rsid w:val="005457A4"/>
    <w:rsid w:val="0054585A"/>
    <w:rsid w:val="00547189"/>
    <w:rsid w:val="0055216E"/>
    <w:rsid w:val="0055306F"/>
    <w:rsid w:val="005534D4"/>
    <w:rsid w:val="00554445"/>
    <w:rsid w:val="00554586"/>
    <w:rsid w:val="00554D82"/>
    <w:rsid w:val="005550B5"/>
    <w:rsid w:val="00555529"/>
    <w:rsid w:val="00555F74"/>
    <w:rsid w:val="005604D6"/>
    <w:rsid w:val="005608E8"/>
    <w:rsid w:val="0056093C"/>
    <w:rsid w:val="00560EB6"/>
    <w:rsid w:val="00561E38"/>
    <w:rsid w:val="00562CBE"/>
    <w:rsid w:val="00566A0E"/>
    <w:rsid w:val="0056730B"/>
    <w:rsid w:val="00567696"/>
    <w:rsid w:val="00567EF4"/>
    <w:rsid w:val="0057148C"/>
    <w:rsid w:val="00571948"/>
    <w:rsid w:val="00571E57"/>
    <w:rsid w:val="005730BF"/>
    <w:rsid w:val="005737B4"/>
    <w:rsid w:val="005739F9"/>
    <w:rsid w:val="00573CF0"/>
    <w:rsid w:val="00574DA2"/>
    <w:rsid w:val="00575E7B"/>
    <w:rsid w:val="005766A4"/>
    <w:rsid w:val="00577273"/>
    <w:rsid w:val="00577ACA"/>
    <w:rsid w:val="00580039"/>
    <w:rsid w:val="00581BB0"/>
    <w:rsid w:val="005823C0"/>
    <w:rsid w:val="00582925"/>
    <w:rsid w:val="00582B6A"/>
    <w:rsid w:val="00585E3B"/>
    <w:rsid w:val="00590615"/>
    <w:rsid w:val="0059149F"/>
    <w:rsid w:val="00591867"/>
    <w:rsid w:val="005930AC"/>
    <w:rsid w:val="00593C57"/>
    <w:rsid w:val="00597B14"/>
    <w:rsid w:val="005A1546"/>
    <w:rsid w:val="005A19EC"/>
    <w:rsid w:val="005A33FF"/>
    <w:rsid w:val="005A367A"/>
    <w:rsid w:val="005A4387"/>
    <w:rsid w:val="005A6EE0"/>
    <w:rsid w:val="005B009E"/>
    <w:rsid w:val="005B04C5"/>
    <w:rsid w:val="005B1C12"/>
    <w:rsid w:val="005B2923"/>
    <w:rsid w:val="005B35AF"/>
    <w:rsid w:val="005B3726"/>
    <w:rsid w:val="005B3960"/>
    <w:rsid w:val="005B3DD8"/>
    <w:rsid w:val="005B411F"/>
    <w:rsid w:val="005B48A5"/>
    <w:rsid w:val="005B563F"/>
    <w:rsid w:val="005C0D3F"/>
    <w:rsid w:val="005C5EAE"/>
    <w:rsid w:val="005C613A"/>
    <w:rsid w:val="005C7BE5"/>
    <w:rsid w:val="005D17DF"/>
    <w:rsid w:val="005D1BF6"/>
    <w:rsid w:val="005D1E80"/>
    <w:rsid w:val="005D261E"/>
    <w:rsid w:val="005D2BE3"/>
    <w:rsid w:val="005D3B2D"/>
    <w:rsid w:val="005D449D"/>
    <w:rsid w:val="005D54BB"/>
    <w:rsid w:val="005D7DD2"/>
    <w:rsid w:val="005E018E"/>
    <w:rsid w:val="005E04E8"/>
    <w:rsid w:val="005E244E"/>
    <w:rsid w:val="005E2D55"/>
    <w:rsid w:val="005E39AF"/>
    <w:rsid w:val="005E4568"/>
    <w:rsid w:val="005E55C8"/>
    <w:rsid w:val="005E5C1E"/>
    <w:rsid w:val="005E60BC"/>
    <w:rsid w:val="005E7D90"/>
    <w:rsid w:val="005F0005"/>
    <w:rsid w:val="005F0330"/>
    <w:rsid w:val="005F2E4F"/>
    <w:rsid w:val="005F3BD7"/>
    <w:rsid w:val="005F3D4B"/>
    <w:rsid w:val="005F4B66"/>
    <w:rsid w:val="005F4E85"/>
    <w:rsid w:val="005F66E1"/>
    <w:rsid w:val="00600707"/>
    <w:rsid w:val="006009BC"/>
    <w:rsid w:val="0060189A"/>
    <w:rsid w:val="00602A83"/>
    <w:rsid w:val="00602E7C"/>
    <w:rsid w:val="00602F1B"/>
    <w:rsid w:val="006033AA"/>
    <w:rsid w:val="0060361A"/>
    <w:rsid w:val="00605A31"/>
    <w:rsid w:val="00605D47"/>
    <w:rsid w:val="0060689D"/>
    <w:rsid w:val="00606B20"/>
    <w:rsid w:val="0061269B"/>
    <w:rsid w:val="00614241"/>
    <w:rsid w:val="00614F92"/>
    <w:rsid w:val="006154C8"/>
    <w:rsid w:val="00616AF0"/>
    <w:rsid w:val="0061791B"/>
    <w:rsid w:val="0062066F"/>
    <w:rsid w:val="0062153C"/>
    <w:rsid w:val="00622BDB"/>
    <w:rsid w:val="0062401A"/>
    <w:rsid w:val="006267F5"/>
    <w:rsid w:val="0062765C"/>
    <w:rsid w:val="0063062F"/>
    <w:rsid w:val="00632020"/>
    <w:rsid w:val="0063279B"/>
    <w:rsid w:val="00632C07"/>
    <w:rsid w:val="00634FC4"/>
    <w:rsid w:val="0063502C"/>
    <w:rsid w:val="0063621C"/>
    <w:rsid w:val="00636D6E"/>
    <w:rsid w:val="00636FE2"/>
    <w:rsid w:val="00640207"/>
    <w:rsid w:val="006404B2"/>
    <w:rsid w:val="00641DDA"/>
    <w:rsid w:val="00643FBA"/>
    <w:rsid w:val="00645008"/>
    <w:rsid w:val="006451B5"/>
    <w:rsid w:val="00645E4C"/>
    <w:rsid w:val="00650FB3"/>
    <w:rsid w:val="00652E30"/>
    <w:rsid w:val="00652F07"/>
    <w:rsid w:val="00655526"/>
    <w:rsid w:val="00662364"/>
    <w:rsid w:val="0066297C"/>
    <w:rsid w:val="0066332B"/>
    <w:rsid w:val="00663FB9"/>
    <w:rsid w:val="0066499A"/>
    <w:rsid w:val="006656AA"/>
    <w:rsid w:val="00665FBC"/>
    <w:rsid w:val="0066756C"/>
    <w:rsid w:val="00670E83"/>
    <w:rsid w:val="006712CD"/>
    <w:rsid w:val="00671E0F"/>
    <w:rsid w:val="006720B8"/>
    <w:rsid w:val="00672B24"/>
    <w:rsid w:val="00674C18"/>
    <w:rsid w:val="0067569C"/>
    <w:rsid w:val="0067686A"/>
    <w:rsid w:val="00676F72"/>
    <w:rsid w:val="006801AA"/>
    <w:rsid w:val="00681885"/>
    <w:rsid w:val="00681F06"/>
    <w:rsid w:val="006864F7"/>
    <w:rsid w:val="00687388"/>
    <w:rsid w:val="00690F2D"/>
    <w:rsid w:val="00691862"/>
    <w:rsid w:val="00691A32"/>
    <w:rsid w:val="00693510"/>
    <w:rsid w:val="00694E9A"/>
    <w:rsid w:val="00695197"/>
    <w:rsid w:val="006972D0"/>
    <w:rsid w:val="006A066D"/>
    <w:rsid w:val="006A0F07"/>
    <w:rsid w:val="006A1A8D"/>
    <w:rsid w:val="006A1DBA"/>
    <w:rsid w:val="006A25B2"/>
    <w:rsid w:val="006A3BD3"/>
    <w:rsid w:val="006A5FE5"/>
    <w:rsid w:val="006B0319"/>
    <w:rsid w:val="006B1B99"/>
    <w:rsid w:val="006B4701"/>
    <w:rsid w:val="006B4727"/>
    <w:rsid w:val="006C109E"/>
    <w:rsid w:val="006C1F93"/>
    <w:rsid w:val="006C2206"/>
    <w:rsid w:val="006C22C8"/>
    <w:rsid w:val="006C4DED"/>
    <w:rsid w:val="006C5310"/>
    <w:rsid w:val="006C6FEE"/>
    <w:rsid w:val="006C7023"/>
    <w:rsid w:val="006C7BA2"/>
    <w:rsid w:val="006D01BE"/>
    <w:rsid w:val="006D0C20"/>
    <w:rsid w:val="006D157F"/>
    <w:rsid w:val="006D21A2"/>
    <w:rsid w:val="006D462A"/>
    <w:rsid w:val="006D49FE"/>
    <w:rsid w:val="006D7FF7"/>
    <w:rsid w:val="006E0AE8"/>
    <w:rsid w:val="006E32B1"/>
    <w:rsid w:val="006E376C"/>
    <w:rsid w:val="006E6E6F"/>
    <w:rsid w:val="006F1E13"/>
    <w:rsid w:val="006F34DE"/>
    <w:rsid w:val="006F45FF"/>
    <w:rsid w:val="006F50FC"/>
    <w:rsid w:val="00701998"/>
    <w:rsid w:val="00701F54"/>
    <w:rsid w:val="00703832"/>
    <w:rsid w:val="007048B9"/>
    <w:rsid w:val="0071117C"/>
    <w:rsid w:val="00711771"/>
    <w:rsid w:val="007128BA"/>
    <w:rsid w:val="00713844"/>
    <w:rsid w:val="007141BD"/>
    <w:rsid w:val="00716503"/>
    <w:rsid w:val="00716509"/>
    <w:rsid w:val="0071665B"/>
    <w:rsid w:val="00717046"/>
    <w:rsid w:val="00717115"/>
    <w:rsid w:val="00717123"/>
    <w:rsid w:val="0072182C"/>
    <w:rsid w:val="007228DC"/>
    <w:rsid w:val="00724ED9"/>
    <w:rsid w:val="00726062"/>
    <w:rsid w:val="0072733C"/>
    <w:rsid w:val="00730C97"/>
    <w:rsid w:val="00732FD9"/>
    <w:rsid w:val="00734194"/>
    <w:rsid w:val="00734251"/>
    <w:rsid w:val="0073445E"/>
    <w:rsid w:val="00734AFA"/>
    <w:rsid w:val="007365C8"/>
    <w:rsid w:val="007401D4"/>
    <w:rsid w:val="00742DF5"/>
    <w:rsid w:val="007450C1"/>
    <w:rsid w:val="0074512B"/>
    <w:rsid w:val="007501F7"/>
    <w:rsid w:val="0075198A"/>
    <w:rsid w:val="00751D0A"/>
    <w:rsid w:val="007524EE"/>
    <w:rsid w:val="007527EE"/>
    <w:rsid w:val="00752E40"/>
    <w:rsid w:val="00754796"/>
    <w:rsid w:val="00754D32"/>
    <w:rsid w:val="00756404"/>
    <w:rsid w:val="00757A65"/>
    <w:rsid w:val="007616AD"/>
    <w:rsid w:val="00762E8A"/>
    <w:rsid w:val="00762EF1"/>
    <w:rsid w:val="007653F2"/>
    <w:rsid w:val="00765B17"/>
    <w:rsid w:val="007670E1"/>
    <w:rsid w:val="00767601"/>
    <w:rsid w:val="00771128"/>
    <w:rsid w:val="00772A57"/>
    <w:rsid w:val="007748C3"/>
    <w:rsid w:val="00775775"/>
    <w:rsid w:val="0077700E"/>
    <w:rsid w:val="00777876"/>
    <w:rsid w:val="007779AA"/>
    <w:rsid w:val="007809FD"/>
    <w:rsid w:val="00781FA2"/>
    <w:rsid w:val="007829FE"/>
    <w:rsid w:val="00782CAD"/>
    <w:rsid w:val="00784849"/>
    <w:rsid w:val="007859EF"/>
    <w:rsid w:val="00787FF1"/>
    <w:rsid w:val="007919A1"/>
    <w:rsid w:val="00791D1A"/>
    <w:rsid w:val="00792784"/>
    <w:rsid w:val="00795F79"/>
    <w:rsid w:val="007968DE"/>
    <w:rsid w:val="007A1044"/>
    <w:rsid w:val="007A1972"/>
    <w:rsid w:val="007A3460"/>
    <w:rsid w:val="007A3C18"/>
    <w:rsid w:val="007A5138"/>
    <w:rsid w:val="007B0E9E"/>
    <w:rsid w:val="007B17BA"/>
    <w:rsid w:val="007B4EB1"/>
    <w:rsid w:val="007B5AED"/>
    <w:rsid w:val="007B63C6"/>
    <w:rsid w:val="007C17D0"/>
    <w:rsid w:val="007C17EC"/>
    <w:rsid w:val="007C189C"/>
    <w:rsid w:val="007C2E33"/>
    <w:rsid w:val="007C42D1"/>
    <w:rsid w:val="007C7044"/>
    <w:rsid w:val="007C7886"/>
    <w:rsid w:val="007C7D62"/>
    <w:rsid w:val="007D012A"/>
    <w:rsid w:val="007D1FE8"/>
    <w:rsid w:val="007D215D"/>
    <w:rsid w:val="007D4280"/>
    <w:rsid w:val="007D4443"/>
    <w:rsid w:val="007D4F01"/>
    <w:rsid w:val="007D7348"/>
    <w:rsid w:val="007D7D00"/>
    <w:rsid w:val="007E00E4"/>
    <w:rsid w:val="007E0349"/>
    <w:rsid w:val="007E0840"/>
    <w:rsid w:val="007E10A0"/>
    <w:rsid w:val="007E25EA"/>
    <w:rsid w:val="007E2E2E"/>
    <w:rsid w:val="007E32AC"/>
    <w:rsid w:val="007E3450"/>
    <w:rsid w:val="007E396C"/>
    <w:rsid w:val="007E4E2B"/>
    <w:rsid w:val="007E51DF"/>
    <w:rsid w:val="007F0619"/>
    <w:rsid w:val="007F3988"/>
    <w:rsid w:val="007F40F7"/>
    <w:rsid w:val="007F7118"/>
    <w:rsid w:val="007F79D1"/>
    <w:rsid w:val="007F7D12"/>
    <w:rsid w:val="008001A0"/>
    <w:rsid w:val="00800C97"/>
    <w:rsid w:val="00801325"/>
    <w:rsid w:val="00802B9C"/>
    <w:rsid w:val="008031A8"/>
    <w:rsid w:val="008037AE"/>
    <w:rsid w:val="00804380"/>
    <w:rsid w:val="008044D6"/>
    <w:rsid w:val="00804900"/>
    <w:rsid w:val="00804C4A"/>
    <w:rsid w:val="008054BB"/>
    <w:rsid w:val="00806C6F"/>
    <w:rsid w:val="00810598"/>
    <w:rsid w:val="0081075E"/>
    <w:rsid w:val="00810FB4"/>
    <w:rsid w:val="008113F7"/>
    <w:rsid w:val="0081253D"/>
    <w:rsid w:val="0081346C"/>
    <w:rsid w:val="00814771"/>
    <w:rsid w:val="00815CB3"/>
    <w:rsid w:val="00816A1C"/>
    <w:rsid w:val="008203C6"/>
    <w:rsid w:val="00821F0F"/>
    <w:rsid w:val="00821FFC"/>
    <w:rsid w:val="00822019"/>
    <w:rsid w:val="0082246E"/>
    <w:rsid w:val="00822BBD"/>
    <w:rsid w:val="00823259"/>
    <w:rsid w:val="00824346"/>
    <w:rsid w:val="00825C59"/>
    <w:rsid w:val="008263CE"/>
    <w:rsid w:val="00826A01"/>
    <w:rsid w:val="00827037"/>
    <w:rsid w:val="0083163F"/>
    <w:rsid w:val="00831E10"/>
    <w:rsid w:val="00834306"/>
    <w:rsid w:val="0083611E"/>
    <w:rsid w:val="008363B7"/>
    <w:rsid w:val="008369CE"/>
    <w:rsid w:val="00837307"/>
    <w:rsid w:val="00840022"/>
    <w:rsid w:val="00843E06"/>
    <w:rsid w:val="00845BBD"/>
    <w:rsid w:val="00845D2B"/>
    <w:rsid w:val="0084761A"/>
    <w:rsid w:val="0085183D"/>
    <w:rsid w:val="008522E1"/>
    <w:rsid w:val="008524A5"/>
    <w:rsid w:val="00852867"/>
    <w:rsid w:val="00852DF5"/>
    <w:rsid w:val="00855543"/>
    <w:rsid w:val="00855B8C"/>
    <w:rsid w:val="00855F26"/>
    <w:rsid w:val="00855F8A"/>
    <w:rsid w:val="00856F2F"/>
    <w:rsid w:val="0086081F"/>
    <w:rsid w:val="00861ADB"/>
    <w:rsid w:val="00862291"/>
    <w:rsid w:val="00862DEE"/>
    <w:rsid w:val="0086403E"/>
    <w:rsid w:val="0086429F"/>
    <w:rsid w:val="00865198"/>
    <w:rsid w:val="00865308"/>
    <w:rsid w:val="00865B71"/>
    <w:rsid w:val="00865FC4"/>
    <w:rsid w:val="00866C85"/>
    <w:rsid w:val="00867481"/>
    <w:rsid w:val="00870336"/>
    <w:rsid w:val="0087106A"/>
    <w:rsid w:val="00871344"/>
    <w:rsid w:val="008715FF"/>
    <w:rsid w:val="0087332F"/>
    <w:rsid w:val="00874F0A"/>
    <w:rsid w:val="00875321"/>
    <w:rsid w:val="008771A6"/>
    <w:rsid w:val="008771C0"/>
    <w:rsid w:val="00880337"/>
    <w:rsid w:val="0088355A"/>
    <w:rsid w:val="008843BF"/>
    <w:rsid w:val="008871F1"/>
    <w:rsid w:val="0089027F"/>
    <w:rsid w:val="00890EB1"/>
    <w:rsid w:val="00892EF1"/>
    <w:rsid w:val="00893BCF"/>
    <w:rsid w:val="00893E8D"/>
    <w:rsid w:val="00895A14"/>
    <w:rsid w:val="008978BA"/>
    <w:rsid w:val="00897C31"/>
    <w:rsid w:val="008A5BEB"/>
    <w:rsid w:val="008A6136"/>
    <w:rsid w:val="008A64E7"/>
    <w:rsid w:val="008A77B6"/>
    <w:rsid w:val="008B03B8"/>
    <w:rsid w:val="008B08BA"/>
    <w:rsid w:val="008B202E"/>
    <w:rsid w:val="008B2A5A"/>
    <w:rsid w:val="008B2B06"/>
    <w:rsid w:val="008B3288"/>
    <w:rsid w:val="008B3E47"/>
    <w:rsid w:val="008B47A0"/>
    <w:rsid w:val="008B5206"/>
    <w:rsid w:val="008B5D57"/>
    <w:rsid w:val="008B6AB7"/>
    <w:rsid w:val="008B71C4"/>
    <w:rsid w:val="008C1F1E"/>
    <w:rsid w:val="008C3B50"/>
    <w:rsid w:val="008C3CD1"/>
    <w:rsid w:val="008C7217"/>
    <w:rsid w:val="008D209E"/>
    <w:rsid w:val="008D64B6"/>
    <w:rsid w:val="008D6F6A"/>
    <w:rsid w:val="008E113B"/>
    <w:rsid w:val="008E19F4"/>
    <w:rsid w:val="008E2FB3"/>
    <w:rsid w:val="008E46D4"/>
    <w:rsid w:val="008E4886"/>
    <w:rsid w:val="008E5897"/>
    <w:rsid w:val="008E5D9B"/>
    <w:rsid w:val="008E7B50"/>
    <w:rsid w:val="008F0352"/>
    <w:rsid w:val="008F0D77"/>
    <w:rsid w:val="008F1BC9"/>
    <w:rsid w:val="008F2C4D"/>
    <w:rsid w:val="008F7DE4"/>
    <w:rsid w:val="009000B6"/>
    <w:rsid w:val="00900BFF"/>
    <w:rsid w:val="009011F3"/>
    <w:rsid w:val="009019DB"/>
    <w:rsid w:val="00901B7E"/>
    <w:rsid w:val="0090254B"/>
    <w:rsid w:val="00902AB3"/>
    <w:rsid w:val="00904D20"/>
    <w:rsid w:val="00905161"/>
    <w:rsid w:val="009114C1"/>
    <w:rsid w:val="00912492"/>
    <w:rsid w:val="00916240"/>
    <w:rsid w:val="009170DD"/>
    <w:rsid w:val="009203EA"/>
    <w:rsid w:val="00920587"/>
    <w:rsid w:val="009235A8"/>
    <w:rsid w:val="009252CE"/>
    <w:rsid w:val="00927E07"/>
    <w:rsid w:val="00927FBF"/>
    <w:rsid w:val="009309FD"/>
    <w:rsid w:val="00932762"/>
    <w:rsid w:val="0093389E"/>
    <w:rsid w:val="009342C0"/>
    <w:rsid w:val="00934DE0"/>
    <w:rsid w:val="00935648"/>
    <w:rsid w:val="00935B71"/>
    <w:rsid w:val="00936F01"/>
    <w:rsid w:val="00940BD3"/>
    <w:rsid w:val="00941BF7"/>
    <w:rsid w:val="00941D54"/>
    <w:rsid w:val="00942311"/>
    <w:rsid w:val="0094348B"/>
    <w:rsid w:val="00943EA2"/>
    <w:rsid w:val="009477C1"/>
    <w:rsid w:val="00954DAB"/>
    <w:rsid w:val="00955AAC"/>
    <w:rsid w:val="00955FFB"/>
    <w:rsid w:val="00956089"/>
    <w:rsid w:val="009567C8"/>
    <w:rsid w:val="00957F7F"/>
    <w:rsid w:val="0096532F"/>
    <w:rsid w:val="00965574"/>
    <w:rsid w:val="0096573F"/>
    <w:rsid w:val="00965C9E"/>
    <w:rsid w:val="009720CF"/>
    <w:rsid w:val="00972A8A"/>
    <w:rsid w:val="00973009"/>
    <w:rsid w:val="00974100"/>
    <w:rsid w:val="00974771"/>
    <w:rsid w:val="009747AD"/>
    <w:rsid w:val="00975255"/>
    <w:rsid w:val="00976038"/>
    <w:rsid w:val="0097607C"/>
    <w:rsid w:val="00976233"/>
    <w:rsid w:val="009765FE"/>
    <w:rsid w:val="00977F0E"/>
    <w:rsid w:val="00981B83"/>
    <w:rsid w:val="009823E8"/>
    <w:rsid w:val="009854D5"/>
    <w:rsid w:val="00986A2F"/>
    <w:rsid w:val="009908C4"/>
    <w:rsid w:val="00990988"/>
    <w:rsid w:val="00990FBA"/>
    <w:rsid w:val="00991C94"/>
    <w:rsid w:val="00991F75"/>
    <w:rsid w:val="009926E4"/>
    <w:rsid w:val="0099341C"/>
    <w:rsid w:val="009934AC"/>
    <w:rsid w:val="00993915"/>
    <w:rsid w:val="00994CF8"/>
    <w:rsid w:val="00996230"/>
    <w:rsid w:val="00996698"/>
    <w:rsid w:val="009A12D0"/>
    <w:rsid w:val="009A1CDF"/>
    <w:rsid w:val="009A35E5"/>
    <w:rsid w:val="009A3C1C"/>
    <w:rsid w:val="009A3DCA"/>
    <w:rsid w:val="009A45D6"/>
    <w:rsid w:val="009A7AC1"/>
    <w:rsid w:val="009B0E10"/>
    <w:rsid w:val="009B13D0"/>
    <w:rsid w:val="009B18CF"/>
    <w:rsid w:val="009B1D8F"/>
    <w:rsid w:val="009B2411"/>
    <w:rsid w:val="009B309C"/>
    <w:rsid w:val="009B50E0"/>
    <w:rsid w:val="009B720C"/>
    <w:rsid w:val="009C0085"/>
    <w:rsid w:val="009C0232"/>
    <w:rsid w:val="009C1AC5"/>
    <w:rsid w:val="009C1F7A"/>
    <w:rsid w:val="009C1FE6"/>
    <w:rsid w:val="009C240F"/>
    <w:rsid w:val="009C3970"/>
    <w:rsid w:val="009C5480"/>
    <w:rsid w:val="009D004E"/>
    <w:rsid w:val="009D2292"/>
    <w:rsid w:val="009D261C"/>
    <w:rsid w:val="009D268C"/>
    <w:rsid w:val="009D3B98"/>
    <w:rsid w:val="009D5292"/>
    <w:rsid w:val="009D548C"/>
    <w:rsid w:val="009D6118"/>
    <w:rsid w:val="009D63E7"/>
    <w:rsid w:val="009D6A5C"/>
    <w:rsid w:val="009D6F07"/>
    <w:rsid w:val="009E0374"/>
    <w:rsid w:val="009E4573"/>
    <w:rsid w:val="009E4DA7"/>
    <w:rsid w:val="009E6588"/>
    <w:rsid w:val="009E6CBB"/>
    <w:rsid w:val="009F0F54"/>
    <w:rsid w:val="009F2269"/>
    <w:rsid w:val="009F33F9"/>
    <w:rsid w:val="009F3862"/>
    <w:rsid w:val="009F45A8"/>
    <w:rsid w:val="009F53D9"/>
    <w:rsid w:val="009F7688"/>
    <w:rsid w:val="00A0521D"/>
    <w:rsid w:val="00A064ED"/>
    <w:rsid w:val="00A077F9"/>
    <w:rsid w:val="00A1158A"/>
    <w:rsid w:val="00A1316D"/>
    <w:rsid w:val="00A132B1"/>
    <w:rsid w:val="00A13326"/>
    <w:rsid w:val="00A15F94"/>
    <w:rsid w:val="00A1649C"/>
    <w:rsid w:val="00A17E57"/>
    <w:rsid w:val="00A17FF1"/>
    <w:rsid w:val="00A200A7"/>
    <w:rsid w:val="00A2155B"/>
    <w:rsid w:val="00A231EC"/>
    <w:rsid w:val="00A23F00"/>
    <w:rsid w:val="00A24BA6"/>
    <w:rsid w:val="00A25AEC"/>
    <w:rsid w:val="00A26982"/>
    <w:rsid w:val="00A26BEC"/>
    <w:rsid w:val="00A270BD"/>
    <w:rsid w:val="00A27C51"/>
    <w:rsid w:val="00A27F24"/>
    <w:rsid w:val="00A304C0"/>
    <w:rsid w:val="00A3080A"/>
    <w:rsid w:val="00A30C1E"/>
    <w:rsid w:val="00A334EC"/>
    <w:rsid w:val="00A374ED"/>
    <w:rsid w:val="00A404A2"/>
    <w:rsid w:val="00A40BD0"/>
    <w:rsid w:val="00A41A9A"/>
    <w:rsid w:val="00A42688"/>
    <w:rsid w:val="00A4430D"/>
    <w:rsid w:val="00A45159"/>
    <w:rsid w:val="00A453F2"/>
    <w:rsid w:val="00A455EB"/>
    <w:rsid w:val="00A45670"/>
    <w:rsid w:val="00A46A40"/>
    <w:rsid w:val="00A47AF1"/>
    <w:rsid w:val="00A5337A"/>
    <w:rsid w:val="00A534F6"/>
    <w:rsid w:val="00A53F42"/>
    <w:rsid w:val="00A547C3"/>
    <w:rsid w:val="00A5675B"/>
    <w:rsid w:val="00A5683B"/>
    <w:rsid w:val="00A56BFB"/>
    <w:rsid w:val="00A56E89"/>
    <w:rsid w:val="00A57273"/>
    <w:rsid w:val="00A60EBA"/>
    <w:rsid w:val="00A62F60"/>
    <w:rsid w:val="00A64A8B"/>
    <w:rsid w:val="00A671A6"/>
    <w:rsid w:val="00A67CDB"/>
    <w:rsid w:val="00A70314"/>
    <w:rsid w:val="00A71949"/>
    <w:rsid w:val="00A71C7A"/>
    <w:rsid w:val="00A71E72"/>
    <w:rsid w:val="00A73D25"/>
    <w:rsid w:val="00A7693E"/>
    <w:rsid w:val="00A76FEC"/>
    <w:rsid w:val="00A77B3E"/>
    <w:rsid w:val="00A80F81"/>
    <w:rsid w:val="00A82323"/>
    <w:rsid w:val="00A82A9A"/>
    <w:rsid w:val="00A8302E"/>
    <w:rsid w:val="00A835EF"/>
    <w:rsid w:val="00A83AF1"/>
    <w:rsid w:val="00A842AA"/>
    <w:rsid w:val="00A854BA"/>
    <w:rsid w:val="00A85B2C"/>
    <w:rsid w:val="00A8621C"/>
    <w:rsid w:val="00A919B7"/>
    <w:rsid w:val="00A92BB9"/>
    <w:rsid w:val="00A96332"/>
    <w:rsid w:val="00A97605"/>
    <w:rsid w:val="00AA18FF"/>
    <w:rsid w:val="00AA26D1"/>
    <w:rsid w:val="00AA3F0C"/>
    <w:rsid w:val="00AA42CA"/>
    <w:rsid w:val="00AA5117"/>
    <w:rsid w:val="00AA53F1"/>
    <w:rsid w:val="00AA5745"/>
    <w:rsid w:val="00AB22BC"/>
    <w:rsid w:val="00AB3357"/>
    <w:rsid w:val="00AB4BBF"/>
    <w:rsid w:val="00AB7927"/>
    <w:rsid w:val="00AB7E0F"/>
    <w:rsid w:val="00AC0633"/>
    <w:rsid w:val="00AC16CB"/>
    <w:rsid w:val="00AC1D68"/>
    <w:rsid w:val="00AC27B6"/>
    <w:rsid w:val="00AC29C0"/>
    <w:rsid w:val="00AC2C7C"/>
    <w:rsid w:val="00AC36E2"/>
    <w:rsid w:val="00AC3D9E"/>
    <w:rsid w:val="00AC4B98"/>
    <w:rsid w:val="00AC58F1"/>
    <w:rsid w:val="00AC5967"/>
    <w:rsid w:val="00AC612E"/>
    <w:rsid w:val="00AC6822"/>
    <w:rsid w:val="00AC7DFC"/>
    <w:rsid w:val="00AD0070"/>
    <w:rsid w:val="00AD1839"/>
    <w:rsid w:val="00AD20B4"/>
    <w:rsid w:val="00AD2253"/>
    <w:rsid w:val="00AD22B9"/>
    <w:rsid w:val="00AD3C72"/>
    <w:rsid w:val="00AD5639"/>
    <w:rsid w:val="00AD5788"/>
    <w:rsid w:val="00AD589E"/>
    <w:rsid w:val="00AE0D5A"/>
    <w:rsid w:val="00AE29BC"/>
    <w:rsid w:val="00AE29E1"/>
    <w:rsid w:val="00AE3590"/>
    <w:rsid w:val="00AE4AC0"/>
    <w:rsid w:val="00AE798F"/>
    <w:rsid w:val="00AE7B8E"/>
    <w:rsid w:val="00AF04BD"/>
    <w:rsid w:val="00AF07E3"/>
    <w:rsid w:val="00AF08CD"/>
    <w:rsid w:val="00AF08CF"/>
    <w:rsid w:val="00AF3357"/>
    <w:rsid w:val="00AF3F9B"/>
    <w:rsid w:val="00AF45EA"/>
    <w:rsid w:val="00AF4C8D"/>
    <w:rsid w:val="00AF7314"/>
    <w:rsid w:val="00AF788A"/>
    <w:rsid w:val="00B011B4"/>
    <w:rsid w:val="00B02111"/>
    <w:rsid w:val="00B02217"/>
    <w:rsid w:val="00B025D5"/>
    <w:rsid w:val="00B02B92"/>
    <w:rsid w:val="00B05539"/>
    <w:rsid w:val="00B07B70"/>
    <w:rsid w:val="00B104EC"/>
    <w:rsid w:val="00B12EC7"/>
    <w:rsid w:val="00B1448E"/>
    <w:rsid w:val="00B14A17"/>
    <w:rsid w:val="00B14C7F"/>
    <w:rsid w:val="00B15355"/>
    <w:rsid w:val="00B154B0"/>
    <w:rsid w:val="00B15EF9"/>
    <w:rsid w:val="00B15FA3"/>
    <w:rsid w:val="00B169C8"/>
    <w:rsid w:val="00B21C14"/>
    <w:rsid w:val="00B226AB"/>
    <w:rsid w:val="00B25700"/>
    <w:rsid w:val="00B27B8D"/>
    <w:rsid w:val="00B3047D"/>
    <w:rsid w:val="00B30DBE"/>
    <w:rsid w:val="00B31368"/>
    <w:rsid w:val="00B31B32"/>
    <w:rsid w:val="00B31C81"/>
    <w:rsid w:val="00B34210"/>
    <w:rsid w:val="00B36755"/>
    <w:rsid w:val="00B37537"/>
    <w:rsid w:val="00B37D5F"/>
    <w:rsid w:val="00B4008B"/>
    <w:rsid w:val="00B41084"/>
    <w:rsid w:val="00B419CF"/>
    <w:rsid w:val="00B42C71"/>
    <w:rsid w:val="00B448C6"/>
    <w:rsid w:val="00B45235"/>
    <w:rsid w:val="00B46561"/>
    <w:rsid w:val="00B50886"/>
    <w:rsid w:val="00B51FF6"/>
    <w:rsid w:val="00B53462"/>
    <w:rsid w:val="00B53625"/>
    <w:rsid w:val="00B53AE1"/>
    <w:rsid w:val="00B54D89"/>
    <w:rsid w:val="00B55D67"/>
    <w:rsid w:val="00B57112"/>
    <w:rsid w:val="00B5750A"/>
    <w:rsid w:val="00B57CB7"/>
    <w:rsid w:val="00B60A60"/>
    <w:rsid w:val="00B618CF"/>
    <w:rsid w:val="00B623DF"/>
    <w:rsid w:val="00B632D4"/>
    <w:rsid w:val="00B643F2"/>
    <w:rsid w:val="00B64467"/>
    <w:rsid w:val="00B65849"/>
    <w:rsid w:val="00B65932"/>
    <w:rsid w:val="00B667D0"/>
    <w:rsid w:val="00B704CD"/>
    <w:rsid w:val="00B729A7"/>
    <w:rsid w:val="00B747AC"/>
    <w:rsid w:val="00B75F3E"/>
    <w:rsid w:val="00B76533"/>
    <w:rsid w:val="00B76975"/>
    <w:rsid w:val="00B77F08"/>
    <w:rsid w:val="00B77F9E"/>
    <w:rsid w:val="00B80DCC"/>
    <w:rsid w:val="00B834F3"/>
    <w:rsid w:val="00B878D6"/>
    <w:rsid w:val="00B92C69"/>
    <w:rsid w:val="00B946F3"/>
    <w:rsid w:val="00B95350"/>
    <w:rsid w:val="00B9568B"/>
    <w:rsid w:val="00B97DEC"/>
    <w:rsid w:val="00BA0400"/>
    <w:rsid w:val="00BA145B"/>
    <w:rsid w:val="00BA2176"/>
    <w:rsid w:val="00BA2EFD"/>
    <w:rsid w:val="00BA4057"/>
    <w:rsid w:val="00BA44FF"/>
    <w:rsid w:val="00BA4CB5"/>
    <w:rsid w:val="00BA7BE1"/>
    <w:rsid w:val="00BB115E"/>
    <w:rsid w:val="00BB34F3"/>
    <w:rsid w:val="00BB45CA"/>
    <w:rsid w:val="00BB4BE9"/>
    <w:rsid w:val="00BB6DBC"/>
    <w:rsid w:val="00BB7669"/>
    <w:rsid w:val="00BC028D"/>
    <w:rsid w:val="00BC1B53"/>
    <w:rsid w:val="00BC2ED5"/>
    <w:rsid w:val="00BC4238"/>
    <w:rsid w:val="00BC4255"/>
    <w:rsid w:val="00BD17E0"/>
    <w:rsid w:val="00BD42E7"/>
    <w:rsid w:val="00BD5BB4"/>
    <w:rsid w:val="00BD6FEA"/>
    <w:rsid w:val="00BD7E95"/>
    <w:rsid w:val="00BE1DF9"/>
    <w:rsid w:val="00BE31EE"/>
    <w:rsid w:val="00BE4F24"/>
    <w:rsid w:val="00BE5ADB"/>
    <w:rsid w:val="00BE5CFE"/>
    <w:rsid w:val="00BF01A8"/>
    <w:rsid w:val="00BF0510"/>
    <w:rsid w:val="00BF58F7"/>
    <w:rsid w:val="00BF7144"/>
    <w:rsid w:val="00BF7C91"/>
    <w:rsid w:val="00C002E3"/>
    <w:rsid w:val="00C042C6"/>
    <w:rsid w:val="00C043B0"/>
    <w:rsid w:val="00C04AFF"/>
    <w:rsid w:val="00C05C78"/>
    <w:rsid w:val="00C05F15"/>
    <w:rsid w:val="00C061A6"/>
    <w:rsid w:val="00C068C9"/>
    <w:rsid w:val="00C0722D"/>
    <w:rsid w:val="00C102B4"/>
    <w:rsid w:val="00C10DC8"/>
    <w:rsid w:val="00C11110"/>
    <w:rsid w:val="00C11919"/>
    <w:rsid w:val="00C128ED"/>
    <w:rsid w:val="00C1365B"/>
    <w:rsid w:val="00C14D76"/>
    <w:rsid w:val="00C14E97"/>
    <w:rsid w:val="00C1556A"/>
    <w:rsid w:val="00C169BD"/>
    <w:rsid w:val="00C16E53"/>
    <w:rsid w:val="00C173B2"/>
    <w:rsid w:val="00C2007A"/>
    <w:rsid w:val="00C2173F"/>
    <w:rsid w:val="00C23673"/>
    <w:rsid w:val="00C23F9A"/>
    <w:rsid w:val="00C252A6"/>
    <w:rsid w:val="00C26DEE"/>
    <w:rsid w:val="00C27620"/>
    <w:rsid w:val="00C27857"/>
    <w:rsid w:val="00C3121D"/>
    <w:rsid w:val="00C320C5"/>
    <w:rsid w:val="00C32D2C"/>
    <w:rsid w:val="00C33642"/>
    <w:rsid w:val="00C42DC1"/>
    <w:rsid w:val="00C43229"/>
    <w:rsid w:val="00C436A7"/>
    <w:rsid w:val="00C45A15"/>
    <w:rsid w:val="00C45C03"/>
    <w:rsid w:val="00C46995"/>
    <w:rsid w:val="00C51196"/>
    <w:rsid w:val="00C52EC9"/>
    <w:rsid w:val="00C53867"/>
    <w:rsid w:val="00C53A31"/>
    <w:rsid w:val="00C53D61"/>
    <w:rsid w:val="00C54000"/>
    <w:rsid w:val="00C54DCD"/>
    <w:rsid w:val="00C55E6D"/>
    <w:rsid w:val="00C60695"/>
    <w:rsid w:val="00C606D7"/>
    <w:rsid w:val="00C61625"/>
    <w:rsid w:val="00C61F90"/>
    <w:rsid w:val="00C62D66"/>
    <w:rsid w:val="00C64056"/>
    <w:rsid w:val="00C643FF"/>
    <w:rsid w:val="00C66236"/>
    <w:rsid w:val="00C66D7C"/>
    <w:rsid w:val="00C72A0A"/>
    <w:rsid w:val="00C7332A"/>
    <w:rsid w:val="00C74512"/>
    <w:rsid w:val="00C75E8E"/>
    <w:rsid w:val="00C7644C"/>
    <w:rsid w:val="00C77ECA"/>
    <w:rsid w:val="00C77F25"/>
    <w:rsid w:val="00C825A0"/>
    <w:rsid w:val="00C825CB"/>
    <w:rsid w:val="00C842FE"/>
    <w:rsid w:val="00C84909"/>
    <w:rsid w:val="00C8534F"/>
    <w:rsid w:val="00C90952"/>
    <w:rsid w:val="00C919D0"/>
    <w:rsid w:val="00C91BA2"/>
    <w:rsid w:val="00C91CEB"/>
    <w:rsid w:val="00C91E9E"/>
    <w:rsid w:val="00C931DE"/>
    <w:rsid w:val="00C93DEB"/>
    <w:rsid w:val="00C93ED5"/>
    <w:rsid w:val="00C9558F"/>
    <w:rsid w:val="00C96A4E"/>
    <w:rsid w:val="00C97B2D"/>
    <w:rsid w:val="00C97E02"/>
    <w:rsid w:val="00CA18CE"/>
    <w:rsid w:val="00CA18E1"/>
    <w:rsid w:val="00CA2A55"/>
    <w:rsid w:val="00CA4E80"/>
    <w:rsid w:val="00CA52EE"/>
    <w:rsid w:val="00CA60F3"/>
    <w:rsid w:val="00CA7241"/>
    <w:rsid w:val="00CA7AB2"/>
    <w:rsid w:val="00CB015B"/>
    <w:rsid w:val="00CB1087"/>
    <w:rsid w:val="00CB1FF2"/>
    <w:rsid w:val="00CB354E"/>
    <w:rsid w:val="00CB3C96"/>
    <w:rsid w:val="00CB484E"/>
    <w:rsid w:val="00CB5355"/>
    <w:rsid w:val="00CB67DE"/>
    <w:rsid w:val="00CC0278"/>
    <w:rsid w:val="00CC2439"/>
    <w:rsid w:val="00CC44AC"/>
    <w:rsid w:val="00CC5C14"/>
    <w:rsid w:val="00CC5F09"/>
    <w:rsid w:val="00CC6BB6"/>
    <w:rsid w:val="00CC7891"/>
    <w:rsid w:val="00CD2678"/>
    <w:rsid w:val="00CD31D8"/>
    <w:rsid w:val="00CD4B3C"/>
    <w:rsid w:val="00CD66CB"/>
    <w:rsid w:val="00CD78A7"/>
    <w:rsid w:val="00CD7E24"/>
    <w:rsid w:val="00CE0DB1"/>
    <w:rsid w:val="00CE252B"/>
    <w:rsid w:val="00CE268E"/>
    <w:rsid w:val="00CE2905"/>
    <w:rsid w:val="00CE2B82"/>
    <w:rsid w:val="00CE491F"/>
    <w:rsid w:val="00CE5ED0"/>
    <w:rsid w:val="00CE7CC0"/>
    <w:rsid w:val="00CF3BCD"/>
    <w:rsid w:val="00CF46AD"/>
    <w:rsid w:val="00CF6D84"/>
    <w:rsid w:val="00CF7F11"/>
    <w:rsid w:val="00D002D8"/>
    <w:rsid w:val="00D00EF6"/>
    <w:rsid w:val="00D016DF"/>
    <w:rsid w:val="00D01A60"/>
    <w:rsid w:val="00D02134"/>
    <w:rsid w:val="00D02257"/>
    <w:rsid w:val="00D03351"/>
    <w:rsid w:val="00D07DC5"/>
    <w:rsid w:val="00D11053"/>
    <w:rsid w:val="00D13836"/>
    <w:rsid w:val="00D14DFF"/>
    <w:rsid w:val="00D170DB"/>
    <w:rsid w:val="00D1730D"/>
    <w:rsid w:val="00D20803"/>
    <w:rsid w:val="00D20923"/>
    <w:rsid w:val="00D21CB8"/>
    <w:rsid w:val="00D22877"/>
    <w:rsid w:val="00D23E51"/>
    <w:rsid w:val="00D30906"/>
    <w:rsid w:val="00D31EF3"/>
    <w:rsid w:val="00D34F00"/>
    <w:rsid w:val="00D3753B"/>
    <w:rsid w:val="00D40DFF"/>
    <w:rsid w:val="00D411A7"/>
    <w:rsid w:val="00D41C98"/>
    <w:rsid w:val="00D4275E"/>
    <w:rsid w:val="00D4416E"/>
    <w:rsid w:val="00D4515B"/>
    <w:rsid w:val="00D454EE"/>
    <w:rsid w:val="00D460A7"/>
    <w:rsid w:val="00D477A6"/>
    <w:rsid w:val="00D50A04"/>
    <w:rsid w:val="00D512B4"/>
    <w:rsid w:val="00D520D2"/>
    <w:rsid w:val="00D52509"/>
    <w:rsid w:val="00D52962"/>
    <w:rsid w:val="00D52FFB"/>
    <w:rsid w:val="00D55B2E"/>
    <w:rsid w:val="00D56351"/>
    <w:rsid w:val="00D60332"/>
    <w:rsid w:val="00D622B8"/>
    <w:rsid w:val="00D62A48"/>
    <w:rsid w:val="00D63B30"/>
    <w:rsid w:val="00D64316"/>
    <w:rsid w:val="00D6453F"/>
    <w:rsid w:val="00D6772E"/>
    <w:rsid w:val="00D703A6"/>
    <w:rsid w:val="00D70A2B"/>
    <w:rsid w:val="00D7295B"/>
    <w:rsid w:val="00D72C8C"/>
    <w:rsid w:val="00D74D1B"/>
    <w:rsid w:val="00D77308"/>
    <w:rsid w:val="00D80567"/>
    <w:rsid w:val="00D809FE"/>
    <w:rsid w:val="00D81196"/>
    <w:rsid w:val="00D823C2"/>
    <w:rsid w:val="00D82C0D"/>
    <w:rsid w:val="00D86105"/>
    <w:rsid w:val="00D86BC5"/>
    <w:rsid w:val="00D87387"/>
    <w:rsid w:val="00D91511"/>
    <w:rsid w:val="00D91B51"/>
    <w:rsid w:val="00D93327"/>
    <w:rsid w:val="00D93B79"/>
    <w:rsid w:val="00D971E0"/>
    <w:rsid w:val="00DA04A2"/>
    <w:rsid w:val="00DA17F3"/>
    <w:rsid w:val="00DA196A"/>
    <w:rsid w:val="00DA19CA"/>
    <w:rsid w:val="00DA525B"/>
    <w:rsid w:val="00DA57C9"/>
    <w:rsid w:val="00DA67E4"/>
    <w:rsid w:val="00DB0688"/>
    <w:rsid w:val="00DB1171"/>
    <w:rsid w:val="00DB14EA"/>
    <w:rsid w:val="00DB150D"/>
    <w:rsid w:val="00DB2A2A"/>
    <w:rsid w:val="00DB2FF1"/>
    <w:rsid w:val="00DB3271"/>
    <w:rsid w:val="00DB38A1"/>
    <w:rsid w:val="00DB4280"/>
    <w:rsid w:val="00DB6347"/>
    <w:rsid w:val="00DC0316"/>
    <w:rsid w:val="00DC414A"/>
    <w:rsid w:val="00DC44C4"/>
    <w:rsid w:val="00DC4B7A"/>
    <w:rsid w:val="00DC5F5A"/>
    <w:rsid w:val="00DC6BD0"/>
    <w:rsid w:val="00DD19C1"/>
    <w:rsid w:val="00DD1D5B"/>
    <w:rsid w:val="00DD203D"/>
    <w:rsid w:val="00DD2731"/>
    <w:rsid w:val="00DD2740"/>
    <w:rsid w:val="00DD367A"/>
    <w:rsid w:val="00DD3876"/>
    <w:rsid w:val="00DD4108"/>
    <w:rsid w:val="00DD4ED0"/>
    <w:rsid w:val="00DE140A"/>
    <w:rsid w:val="00DE1E8D"/>
    <w:rsid w:val="00DE273E"/>
    <w:rsid w:val="00DE3140"/>
    <w:rsid w:val="00DE3595"/>
    <w:rsid w:val="00DE3E52"/>
    <w:rsid w:val="00DE5100"/>
    <w:rsid w:val="00DE5DC2"/>
    <w:rsid w:val="00DE6EAC"/>
    <w:rsid w:val="00DE7376"/>
    <w:rsid w:val="00DF13FD"/>
    <w:rsid w:val="00DF47DE"/>
    <w:rsid w:val="00DF5286"/>
    <w:rsid w:val="00DF7E34"/>
    <w:rsid w:val="00E00E15"/>
    <w:rsid w:val="00E0329A"/>
    <w:rsid w:val="00E03805"/>
    <w:rsid w:val="00E04402"/>
    <w:rsid w:val="00E04A92"/>
    <w:rsid w:val="00E053FF"/>
    <w:rsid w:val="00E06A2D"/>
    <w:rsid w:val="00E071C1"/>
    <w:rsid w:val="00E1019B"/>
    <w:rsid w:val="00E10C80"/>
    <w:rsid w:val="00E126D2"/>
    <w:rsid w:val="00E20A06"/>
    <w:rsid w:val="00E20D79"/>
    <w:rsid w:val="00E2102A"/>
    <w:rsid w:val="00E2219F"/>
    <w:rsid w:val="00E2238C"/>
    <w:rsid w:val="00E22906"/>
    <w:rsid w:val="00E22DEC"/>
    <w:rsid w:val="00E2763E"/>
    <w:rsid w:val="00E31F6B"/>
    <w:rsid w:val="00E33F15"/>
    <w:rsid w:val="00E340BC"/>
    <w:rsid w:val="00E34B4C"/>
    <w:rsid w:val="00E35EFB"/>
    <w:rsid w:val="00E426EA"/>
    <w:rsid w:val="00E4579C"/>
    <w:rsid w:val="00E46229"/>
    <w:rsid w:val="00E46724"/>
    <w:rsid w:val="00E50C84"/>
    <w:rsid w:val="00E50E18"/>
    <w:rsid w:val="00E53F55"/>
    <w:rsid w:val="00E57646"/>
    <w:rsid w:val="00E57F6A"/>
    <w:rsid w:val="00E6024A"/>
    <w:rsid w:val="00E60C42"/>
    <w:rsid w:val="00E6188E"/>
    <w:rsid w:val="00E65BD9"/>
    <w:rsid w:val="00E65EE7"/>
    <w:rsid w:val="00E664B6"/>
    <w:rsid w:val="00E67608"/>
    <w:rsid w:val="00E71138"/>
    <w:rsid w:val="00E72EC2"/>
    <w:rsid w:val="00E72FCA"/>
    <w:rsid w:val="00E74837"/>
    <w:rsid w:val="00E7505A"/>
    <w:rsid w:val="00E77FC0"/>
    <w:rsid w:val="00E81654"/>
    <w:rsid w:val="00E81F64"/>
    <w:rsid w:val="00E84D45"/>
    <w:rsid w:val="00E84EEE"/>
    <w:rsid w:val="00E86221"/>
    <w:rsid w:val="00E864E5"/>
    <w:rsid w:val="00E867DB"/>
    <w:rsid w:val="00E90328"/>
    <w:rsid w:val="00E90EFC"/>
    <w:rsid w:val="00E911BB"/>
    <w:rsid w:val="00E91460"/>
    <w:rsid w:val="00E915C0"/>
    <w:rsid w:val="00E91A6D"/>
    <w:rsid w:val="00E921BA"/>
    <w:rsid w:val="00E921E0"/>
    <w:rsid w:val="00E92FB5"/>
    <w:rsid w:val="00E9378F"/>
    <w:rsid w:val="00E93A1B"/>
    <w:rsid w:val="00E94F82"/>
    <w:rsid w:val="00E95F82"/>
    <w:rsid w:val="00E95F91"/>
    <w:rsid w:val="00E97AF0"/>
    <w:rsid w:val="00EA06D7"/>
    <w:rsid w:val="00EA14D3"/>
    <w:rsid w:val="00EA1F71"/>
    <w:rsid w:val="00EA3176"/>
    <w:rsid w:val="00EA3F47"/>
    <w:rsid w:val="00EA4A00"/>
    <w:rsid w:val="00EA6036"/>
    <w:rsid w:val="00EA709E"/>
    <w:rsid w:val="00EA76A3"/>
    <w:rsid w:val="00EB26DF"/>
    <w:rsid w:val="00EB2C96"/>
    <w:rsid w:val="00EB3DFB"/>
    <w:rsid w:val="00EB52EA"/>
    <w:rsid w:val="00EB6D11"/>
    <w:rsid w:val="00EC3EA9"/>
    <w:rsid w:val="00EC4324"/>
    <w:rsid w:val="00EC4B15"/>
    <w:rsid w:val="00EC4E97"/>
    <w:rsid w:val="00EC708E"/>
    <w:rsid w:val="00ED0961"/>
    <w:rsid w:val="00ED1648"/>
    <w:rsid w:val="00ED1744"/>
    <w:rsid w:val="00ED226D"/>
    <w:rsid w:val="00ED4E83"/>
    <w:rsid w:val="00ED580B"/>
    <w:rsid w:val="00ED6671"/>
    <w:rsid w:val="00EE01F1"/>
    <w:rsid w:val="00EE228A"/>
    <w:rsid w:val="00EE321F"/>
    <w:rsid w:val="00EE3BD6"/>
    <w:rsid w:val="00EE4297"/>
    <w:rsid w:val="00EE681F"/>
    <w:rsid w:val="00EE757C"/>
    <w:rsid w:val="00EE78EA"/>
    <w:rsid w:val="00EF0057"/>
    <w:rsid w:val="00EF01A3"/>
    <w:rsid w:val="00EF0A96"/>
    <w:rsid w:val="00EF2297"/>
    <w:rsid w:val="00EF238E"/>
    <w:rsid w:val="00EF29FE"/>
    <w:rsid w:val="00EF36E1"/>
    <w:rsid w:val="00EF553C"/>
    <w:rsid w:val="00EF6FFB"/>
    <w:rsid w:val="00EF7AB7"/>
    <w:rsid w:val="00F0027F"/>
    <w:rsid w:val="00F01D29"/>
    <w:rsid w:val="00F06253"/>
    <w:rsid w:val="00F11D57"/>
    <w:rsid w:val="00F12342"/>
    <w:rsid w:val="00F13C3F"/>
    <w:rsid w:val="00F13FE6"/>
    <w:rsid w:val="00F16322"/>
    <w:rsid w:val="00F17E2D"/>
    <w:rsid w:val="00F2174E"/>
    <w:rsid w:val="00F24C80"/>
    <w:rsid w:val="00F2636F"/>
    <w:rsid w:val="00F265E9"/>
    <w:rsid w:val="00F2735C"/>
    <w:rsid w:val="00F3022C"/>
    <w:rsid w:val="00F30BFA"/>
    <w:rsid w:val="00F31B99"/>
    <w:rsid w:val="00F31DEF"/>
    <w:rsid w:val="00F326C8"/>
    <w:rsid w:val="00F32899"/>
    <w:rsid w:val="00F346F4"/>
    <w:rsid w:val="00F36282"/>
    <w:rsid w:val="00F3761F"/>
    <w:rsid w:val="00F40435"/>
    <w:rsid w:val="00F41A38"/>
    <w:rsid w:val="00F41F5F"/>
    <w:rsid w:val="00F42014"/>
    <w:rsid w:val="00F4203F"/>
    <w:rsid w:val="00F42246"/>
    <w:rsid w:val="00F42BD2"/>
    <w:rsid w:val="00F43A01"/>
    <w:rsid w:val="00F44BFD"/>
    <w:rsid w:val="00F47BC8"/>
    <w:rsid w:val="00F47F7F"/>
    <w:rsid w:val="00F534A8"/>
    <w:rsid w:val="00F538E3"/>
    <w:rsid w:val="00F539E3"/>
    <w:rsid w:val="00F54043"/>
    <w:rsid w:val="00F544CA"/>
    <w:rsid w:val="00F56E7B"/>
    <w:rsid w:val="00F6189A"/>
    <w:rsid w:val="00F632FC"/>
    <w:rsid w:val="00F64511"/>
    <w:rsid w:val="00F6651D"/>
    <w:rsid w:val="00F70573"/>
    <w:rsid w:val="00F709DC"/>
    <w:rsid w:val="00F70B39"/>
    <w:rsid w:val="00F71B6F"/>
    <w:rsid w:val="00F7353B"/>
    <w:rsid w:val="00F744CE"/>
    <w:rsid w:val="00F750E1"/>
    <w:rsid w:val="00F768CD"/>
    <w:rsid w:val="00F770E9"/>
    <w:rsid w:val="00F77E1F"/>
    <w:rsid w:val="00F805A5"/>
    <w:rsid w:val="00F82F43"/>
    <w:rsid w:val="00F834B7"/>
    <w:rsid w:val="00F835F0"/>
    <w:rsid w:val="00F847F0"/>
    <w:rsid w:val="00F85707"/>
    <w:rsid w:val="00F85B66"/>
    <w:rsid w:val="00F87140"/>
    <w:rsid w:val="00F87C5F"/>
    <w:rsid w:val="00F9012A"/>
    <w:rsid w:val="00F910E4"/>
    <w:rsid w:val="00F91FAA"/>
    <w:rsid w:val="00F920D3"/>
    <w:rsid w:val="00F920D4"/>
    <w:rsid w:val="00F92465"/>
    <w:rsid w:val="00F929EC"/>
    <w:rsid w:val="00F947EE"/>
    <w:rsid w:val="00F9799B"/>
    <w:rsid w:val="00F979EE"/>
    <w:rsid w:val="00F97CCE"/>
    <w:rsid w:val="00FA00C5"/>
    <w:rsid w:val="00FA0E3A"/>
    <w:rsid w:val="00FA11C9"/>
    <w:rsid w:val="00FA22A9"/>
    <w:rsid w:val="00FA2489"/>
    <w:rsid w:val="00FA2827"/>
    <w:rsid w:val="00FA31FA"/>
    <w:rsid w:val="00FA4600"/>
    <w:rsid w:val="00FA49DE"/>
    <w:rsid w:val="00FA5578"/>
    <w:rsid w:val="00FA5E6A"/>
    <w:rsid w:val="00FA6076"/>
    <w:rsid w:val="00FB0B66"/>
    <w:rsid w:val="00FB11F9"/>
    <w:rsid w:val="00FB379B"/>
    <w:rsid w:val="00FB48FB"/>
    <w:rsid w:val="00FB5337"/>
    <w:rsid w:val="00FB7A5C"/>
    <w:rsid w:val="00FC0A89"/>
    <w:rsid w:val="00FC21F3"/>
    <w:rsid w:val="00FC29C8"/>
    <w:rsid w:val="00FC2F4F"/>
    <w:rsid w:val="00FC5348"/>
    <w:rsid w:val="00FC5512"/>
    <w:rsid w:val="00FC6698"/>
    <w:rsid w:val="00FC67C4"/>
    <w:rsid w:val="00FC7288"/>
    <w:rsid w:val="00FD114F"/>
    <w:rsid w:val="00FD12D9"/>
    <w:rsid w:val="00FD1AD8"/>
    <w:rsid w:val="00FD36E0"/>
    <w:rsid w:val="00FD4968"/>
    <w:rsid w:val="00FD5FEC"/>
    <w:rsid w:val="00FD62D9"/>
    <w:rsid w:val="00FE14D0"/>
    <w:rsid w:val="00FE1858"/>
    <w:rsid w:val="00FE219D"/>
    <w:rsid w:val="00FE2992"/>
    <w:rsid w:val="00FE30D2"/>
    <w:rsid w:val="00FE328F"/>
    <w:rsid w:val="00FE460F"/>
    <w:rsid w:val="00FE47F8"/>
    <w:rsid w:val="00FE53BF"/>
    <w:rsid w:val="00FE57C2"/>
    <w:rsid w:val="00FE60CE"/>
    <w:rsid w:val="00FE738A"/>
    <w:rsid w:val="00FE74CD"/>
    <w:rsid w:val="00FF04A0"/>
    <w:rsid w:val="00FF0CAD"/>
    <w:rsid w:val="00FF1540"/>
    <w:rsid w:val="00FF3763"/>
    <w:rsid w:val="00FF4A5D"/>
    <w:rsid w:val="00FF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5D45B"/>
  <w15:docId w15:val="{490F7BB1-C16E-4703-A5EF-619F732E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fr-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A01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4672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24E6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numbering" w:customStyle="1" w:styleId="DiscSYMBOL">
    <w:name w:val="DiscSYMBOL•◦▪"/>
    <w:pPr>
      <w:numPr>
        <w:numId w:val="1"/>
      </w:numPr>
    </w:pPr>
  </w:style>
  <w:style w:type="numbering" w:customStyle="1" w:styleId="NumericNumberedNUMBERED">
    <w:name w:val="NumericNumberedNUMBERED"/>
    <w:pPr>
      <w:numPr>
        <w:numId w:val="7"/>
      </w:numPr>
    </w:pPr>
  </w:style>
  <w:style w:type="numbering" w:customStyle="1" w:styleId="LowerAlphaNUMBERED">
    <w:name w:val="LowerAlphaNUMBERED"/>
    <w:pPr>
      <w:numPr>
        <w:numId w:val="10"/>
      </w:numPr>
    </w:pPr>
  </w:style>
  <w:style w:type="paragraph" w:styleId="Header">
    <w:name w:val="header"/>
    <w:basedOn w:val="Normal"/>
    <w:link w:val="HeaderChar"/>
    <w:uiPriority w:val="99"/>
    <w:unhideWhenUsed/>
    <w:rsid w:val="00326D3B"/>
    <w:pPr>
      <w:tabs>
        <w:tab w:val="center" w:pos="4680"/>
        <w:tab w:val="right" w:pos="9360"/>
      </w:tabs>
    </w:pPr>
  </w:style>
  <w:style w:type="character" w:customStyle="1" w:styleId="HeaderChar">
    <w:name w:val="Header Char"/>
    <w:basedOn w:val="DefaultParagraphFont"/>
    <w:link w:val="Header"/>
    <w:uiPriority w:val="99"/>
    <w:rsid w:val="00326D3B"/>
    <w:rPr>
      <w:sz w:val="24"/>
      <w:szCs w:val="24"/>
    </w:rPr>
  </w:style>
  <w:style w:type="paragraph" w:styleId="Footer">
    <w:name w:val="footer"/>
    <w:basedOn w:val="Normal"/>
    <w:link w:val="FooterChar"/>
    <w:uiPriority w:val="99"/>
    <w:unhideWhenUsed/>
    <w:rsid w:val="00326D3B"/>
    <w:pPr>
      <w:tabs>
        <w:tab w:val="center" w:pos="4680"/>
        <w:tab w:val="right" w:pos="9360"/>
      </w:tabs>
    </w:pPr>
  </w:style>
  <w:style w:type="character" w:customStyle="1" w:styleId="FooterChar">
    <w:name w:val="Footer Char"/>
    <w:basedOn w:val="DefaultParagraphFont"/>
    <w:link w:val="Footer"/>
    <w:uiPriority w:val="99"/>
    <w:rsid w:val="00326D3B"/>
    <w:rPr>
      <w:sz w:val="24"/>
      <w:szCs w:val="24"/>
    </w:rPr>
  </w:style>
  <w:style w:type="character" w:customStyle="1" w:styleId="Heading1Char">
    <w:name w:val="Heading 1 Char"/>
    <w:basedOn w:val="DefaultParagraphFont"/>
    <w:link w:val="Heading1"/>
    <w:rsid w:val="000A01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A0138"/>
    <w:pPr>
      <w:spacing w:line="259" w:lineRule="auto"/>
      <w:outlineLvl w:val="9"/>
    </w:pPr>
    <w:rPr>
      <w:kern w:val="0"/>
    </w:rPr>
  </w:style>
  <w:style w:type="paragraph" w:styleId="TOC1">
    <w:name w:val="toc 1"/>
    <w:basedOn w:val="Normal"/>
    <w:next w:val="Normal"/>
    <w:autoRedefine/>
    <w:uiPriority w:val="39"/>
    <w:unhideWhenUsed/>
    <w:rsid w:val="00573CF0"/>
    <w:pPr>
      <w:tabs>
        <w:tab w:val="right" w:leader="dot" w:pos="9350"/>
      </w:tabs>
      <w:spacing w:after="100"/>
    </w:pPr>
  </w:style>
  <w:style w:type="character" w:styleId="Hyperlink">
    <w:name w:val="Hyperlink"/>
    <w:basedOn w:val="DefaultParagraphFont"/>
    <w:uiPriority w:val="99"/>
    <w:unhideWhenUsed/>
    <w:rsid w:val="000A0138"/>
    <w:rPr>
      <w:color w:val="0000FF" w:themeColor="hyperlink"/>
      <w:u w:val="single"/>
    </w:rPr>
  </w:style>
  <w:style w:type="paragraph" w:customStyle="1" w:styleId="AIF-Level1">
    <w:name w:val="AIF - Level 1"/>
    <w:basedOn w:val="Normal"/>
    <w:link w:val="AIF-Level1Char"/>
    <w:qFormat/>
    <w:rsid w:val="004672D9"/>
    <w:pPr>
      <w:keepNext/>
      <w:keepLines/>
      <w:widowControl w:val="0"/>
      <w:spacing w:before="240" w:after="120" w:line="300" w:lineRule="auto"/>
      <w:jc w:val="center"/>
    </w:pPr>
    <w:rPr>
      <w:rFonts w:ascii="Arial" w:eastAsia="Arial" w:hAnsi="Arial" w:cs="Arial"/>
      <w:b/>
      <w:sz w:val="18"/>
    </w:rPr>
  </w:style>
  <w:style w:type="paragraph" w:customStyle="1" w:styleId="AIF-Level2">
    <w:name w:val="AIF - Level 2"/>
    <w:basedOn w:val="Normal"/>
    <w:link w:val="AIF-Level2Char"/>
    <w:qFormat/>
    <w:rsid w:val="004672D9"/>
    <w:pPr>
      <w:keepNext/>
      <w:keepLines/>
      <w:widowControl w:val="0"/>
      <w:spacing w:before="40" w:after="120" w:line="300" w:lineRule="auto"/>
    </w:pPr>
    <w:rPr>
      <w:rFonts w:ascii="Arial" w:eastAsia="Arial" w:hAnsi="Arial" w:cs="Arial"/>
      <w:b/>
      <w:sz w:val="18"/>
    </w:rPr>
  </w:style>
  <w:style w:type="character" w:customStyle="1" w:styleId="AIF-Level1Char">
    <w:name w:val="AIF - Level 1 Char"/>
    <w:basedOn w:val="DefaultParagraphFont"/>
    <w:link w:val="AIF-Level1"/>
    <w:rsid w:val="004672D9"/>
    <w:rPr>
      <w:rFonts w:ascii="Arial" w:eastAsia="Arial" w:hAnsi="Arial" w:cs="Arial"/>
      <w:b/>
      <w:sz w:val="18"/>
      <w:szCs w:val="24"/>
    </w:rPr>
  </w:style>
  <w:style w:type="character" w:customStyle="1" w:styleId="Heading2Char">
    <w:name w:val="Heading 2 Char"/>
    <w:basedOn w:val="DefaultParagraphFont"/>
    <w:link w:val="Heading2"/>
    <w:semiHidden/>
    <w:rsid w:val="004672D9"/>
    <w:rPr>
      <w:rFonts w:asciiTheme="majorHAnsi" w:eastAsiaTheme="majorEastAsia" w:hAnsiTheme="majorHAnsi" w:cstheme="majorBidi"/>
      <w:color w:val="365F91" w:themeColor="accent1" w:themeShade="BF"/>
      <w:sz w:val="26"/>
      <w:szCs w:val="26"/>
    </w:rPr>
  </w:style>
  <w:style w:type="character" w:customStyle="1" w:styleId="AIF-Level2Char">
    <w:name w:val="AIF - Level 2 Char"/>
    <w:basedOn w:val="DefaultParagraphFont"/>
    <w:link w:val="AIF-Level2"/>
    <w:rsid w:val="004672D9"/>
    <w:rPr>
      <w:rFonts w:ascii="Arial" w:eastAsia="Arial" w:hAnsi="Arial" w:cs="Arial"/>
      <w:b/>
      <w:sz w:val="18"/>
      <w:szCs w:val="24"/>
    </w:rPr>
  </w:style>
  <w:style w:type="paragraph" w:styleId="TOC2">
    <w:name w:val="toc 2"/>
    <w:basedOn w:val="Normal"/>
    <w:next w:val="Normal"/>
    <w:autoRedefine/>
    <w:uiPriority w:val="39"/>
    <w:unhideWhenUsed/>
    <w:rsid w:val="009D6F07"/>
    <w:pPr>
      <w:spacing w:after="100"/>
      <w:ind w:left="240"/>
    </w:pPr>
  </w:style>
  <w:style w:type="paragraph" w:styleId="BalloonText">
    <w:name w:val="Balloon Text"/>
    <w:basedOn w:val="Normal"/>
    <w:link w:val="BalloonTextChar"/>
    <w:rsid w:val="00F265E9"/>
    <w:rPr>
      <w:rFonts w:ascii="Segoe UI" w:hAnsi="Segoe UI" w:cs="Segoe UI"/>
      <w:sz w:val="18"/>
      <w:szCs w:val="18"/>
    </w:rPr>
  </w:style>
  <w:style w:type="character" w:customStyle="1" w:styleId="BalloonTextChar">
    <w:name w:val="Balloon Text Char"/>
    <w:basedOn w:val="DefaultParagraphFont"/>
    <w:link w:val="BalloonText"/>
    <w:rsid w:val="00F265E9"/>
    <w:rPr>
      <w:rFonts w:ascii="Segoe UI" w:hAnsi="Segoe UI" w:cs="Segoe UI"/>
      <w:sz w:val="18"/>
      <w:szCs w:val="18"/>
    </w:rPr>
  </w:style>
  <w:style w:type="paragraph" w:customStyle="1" w:styleId="TableParagraph">
    <w:name w:val="Table Paragraph"/>
    <w:basedOn w:val="Normal"/>
    <w:uiPriority w:val="1"/>
    <w:qFormat/>
    <w:rsid w:val="00F265E9"/>
    <w:pPr>
      <w:widowControl w:val="0"/>
      <w:autoSpaceDE w:val="0"/>
      <w:autoSpaceDN w:val="0"/>
      <w:adjustRightInd w:val="0"/>
    </w:pPr>
    <w:rPr>
      <w:rFonts w:ascii="Arial" w:eastAsia="Yu Mincho" w:hAnsi="Arial" w:cs="Arial"/>
      <w:kern w:val="0"/>
      <w:lang w:eastAsia="ja-JP"/>
    </w:rPr>
  </w:style>
  <w:style w:type="paragraph" w:styleId="BodyText">
    <w:name w:val="Body Text"/>
    <w:basedOn w:val="Normal"/>
    <w:link w:val="BodyTextChar"/>
    <w:uiPriority w:val="1"/>
    <w:qFormat/>
    <w:rsid w:val="00F265E9"/>
    <w:pPr>
      <w:widowControl w:val="0"/>
      <w:autoSpaceDE w:val="0"/>
      <w:autoSpaceDN w:val="0"/>
      <w:adjustRightInd w:val="0"/>
      <w:spacing w:after="120" w:line="264" w:lineRule="auto"/>
    </w:pPr>
    <w:rPr>
      <w:rFonts w:ascii="Arial" w:eastAsia="Yu Mincho" w:hAnsi="Arial" w:cs="Arial"/>
      <w:kern w:val="0"/>
      <w:sz w:val="18"/>
      <w:szCs w:val="18"/>
      <w:lang w:eastAsia="ja-JP"/>
    </w:rPr>
  </w:style>
  <w:style w:type="character" w:customStyle="1" w:styleId="BodyTextChar">
    <w:name w:val="Body Text Char"/>
    <w:basedOn w:val="DefaultParagraphFont"/>
    <w:link w:val="BodyText"/>
    <w:uiPriority w:val="1"/>
    <w:rsid w:val="00F265E9"/>
    <w:rPr>
      <w:rFonts w:ascii="Arial" w:eastAsia="Yu Mincho" w:hAnsi="Arial" w:cs="Arial"/>
      <w:kern w:val="0"/>
      <w:sz w:val="18"/>
      <w:szCs w:val="18"/>
      <w:lang w:eastAsia="ja-JP"/>
    </w:rPr>
  </w:style>
  <w:style w:type="character" w:styleId="CommentReference">
    <w:name w:val="annotation reference"/>
    <w:basedOn w:val="DefaultParagraphFont"/>
    <w:semiHidden/>
    <w:unhideWhenUsed/>
    <w:rsid w:val="00FD36E0"/>
    <w:rPr>
      <w:sz w:val="16"/>
      <w:szCs w:val="16"/>
    </w:rPr>
  </w:style>
  <w:style w:type="paragraph" w:styleId="CommentText">
    <w:name w:val="annotation text"/>
    <w:basedOn w:val="Normal"/>
    <w:link w:val="CommentTextChar"/>
    <w:unhideWhenUsed/>
    <w:rsid w:val="00FD36E0"/>
    <w:rPr>
      <w:sz w:val="20"/>
      <w:szCs w:val="20"/>
    </w:rPr>
  </w:style>
  <w:style w:type="character" w:customStyle="1" w:styleId="CommentTextChar">
    <w:name w:val="Comment Text Char"/>
    <w:basedOn w:val="DefaultParagraphFont"/>
    <w:link w:val="CommentText"/>
    <w:rsid w:val="00FD36E0"/>
  </w:style>
  <w:style w:type="paragraph" w:styleId="CommentSubject">
    <w:name w:val="annotation subject"/>
    <w:basedOn w:val="CommentText"/>
    <w:next w:val="CommentText"/>
    <w:link w:val="CommentSubjectChar"/>
    <w:semiHidden/>
    <w:unhideWhenUsed/>
    <w:rsid w:val="00FD36E0"/>
    <w:rPr>
      <w:b/>
      <w:bCs/>
    </w:rPr>
  </w:style>
  <w:style w:type="character" w:customStyle="1" w:styleId="CommentSubjectChar">
    <w:name w:val="Comment Subject Char"/>
    <w:basedOn w:val="CommentTextChar"/>
    <w:link w:val="CommentSubject"/>
    <w:semiHidden/>
    <w:rsid w:val="00FD36E0"/>
    <w:rPr>
      <w:b/>
      <w:bCs/>
    </w:rPr>
  </w:style>
  <w:style w:type="paragraph" w:styleId="ListParagraph">
    <w:name w:val="List Paragraph"/>
    <w:basedOn w:val="Normal"/>
    <w:link w:val="ListParagraphChar"/>
    <w:uiPriority w:val="34"/>
    <w:qFormat/>
    <w:rsid w:val="00B53625"/>
    <w:pPr>
      <w:autoSpaceDE w:val="0"/>
      <w:autoSpaceDN w:val="0"/>
      <w:adjustRightInd w:val="0"/>
      <w:spacing w:before="99"/>
      <w:ind w:left="460" w:hanging="360"/>
    </w:pPr>
    <w:rPr>
      <w:rFonts w:ascii="Arial" w:eastAsiaTheme="minorEastAsia" w:hAnsi="Arial" w:cs="Arial"/>
      <w:kern w:val="0"/>
      <w:lang w:eastAsia="ja-JP"/>
    </w:rPr>
  </w:style>
  <w:style w:type="table" w:styleId="TableGrid">
    <w:name w:val="Table Grid"/>
    <w:basedOn w:val="TableNormal"/>
    <w:uiPriority w:val="39"/>
    <w:rsid w:val="00D80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47EE"/>
    <w:rPr>
      <w:color w:val="605E5C"/>
      <w:shd w:val="clear" w:color="auto" w:fill="E1DFDD"/>
    </w:rPr>
  </w:style>
  <w:style w:type="character" w:styleId="FollowedHyperlink">
    <w:name w:val="FollowedHyperlink"/>
    <w:basedOn w:val="DefaultParagraphFont"/>
    <w:semiHidden/>
    <w:unhideWhenUsed/>
    <w:rsid w:val="00801325"/>
    <w:rPr>
      <w:color w:val="800080" w:themeColor="followedHyperlink"/>
      <w:u w:val="single"/>
    </w:rPr>
  </w:style>
  <w:style w:type="character" w:customStyle="1" w:styleId="xn-location">
    <w:name w:val="xn-location"/>
    <w:basedOn w:val="DefaultParagraphFont"/>
    <w:rsid w:val="00491133"/>
  </w:style>
  <w:style w:type="paragraph" w:styleId="NormalWeb">
    <w:name w:val="Normal (Web)"/>
    <w:basedOn w:val="Normal"/>
    <w:uiPriority w:val="99"/>
    <w:semiHidden/>
    <w:unhideWhenUsed/>
    <w:rsid w:val="00E22906"/>
    <w:pPr>
      <w:spacing w:before="100" w:beforeAutospacing="1" w:after="100" w:afterAutospacing="1"/>
    </w:pPr>
    <w:rPr>
      <w:kern w:val="0"/>
      <w:lang w:eastAsia="ja-JP"/>
    </w:rPr>
  </w:style>
  <w:style w:type="character" w:customStyle="1" w:styleId="xn-chron">
    <w:name w:val="xn-chron"/>
    <w:basedOn w:val="DefaultParagraphFont"/>
    <w:rsid w:val="00E22906"/>
  </w:style>
  <w:style w:type="character" w:customStyle="1" w:styleId="xn-money">
    <w:name w:val="xn-money"/>
    <w:basedOn w:val="DefaultParagraphFont"/>
    <w:rsid w:val="00286769"/>
  </w:style>
  <w:style w:type="paragraph" w:styleId="Revision">
    <w:name w:val="Revision"/>
    <w:hidden/>
    <w:uiPriority w:val="99"/>
    <w:semiHidden/>
    <w:rsid w:val="00FE60CE"/>
    <w:rPr>
      <w:sz w:val="24"/>
      <w:szCs w:val="24"/>
    </w:rPr>
  </w:style>
  <w:style w:type="character" w:customStyle="1" w:styleId="cf01">
    <w:name w:val="cf01"/>
    <w:basedOn w:val="DefaultParagraphFont"/>
    <w:rsid w:val="00BE31EE"/>
    <w:rPr>
      <w:rFonts w:ascii="Segoe UI" w:hAnsi="Segoe UI" w:cs="Segoe UI" w:hint="default"/>
      <w:color w:val="666666"/>
      <w:sz w:val="18"/>
      <w:szCs w:val="18"/>
    </w:rPr>
  </w:style>
  <w:style w:type="paragraph" w:styleId="TOC3">
    <w:name w:val="toc 3"/>
    <w:basedOn w:val="Normal"/>
    <w:next w:val="Normal"/>
    <w:autoRedefine/>
    <w:uiPriority w:val="39"/>
    <w:unhideWhenUsed/>
    <w:rsid w:val="00C2173F"/>
    <w:pPr>
      <w:spacing w:after="100" w:line="259" w:lineRule="auto"/>
      <w:ind w:left="440"/>
    </w:pPr>
    <w:rPr>
      <w:rFonts w:asciiTheme="minorHAnsi" w:eastAsiaTheme="minorEastAsia" w:hAnsiTheme="minorHAnsi" w:cstheme="minorBidi"/>
      <w:kern w:val="0"/>
      <w:sz w:val="22"/>
      <w:szCs w:val="22"/>
      <w:lang w:eastAsia="ja-JP"/>
    </w:rPr>
  </w:style>
  <w:style w:type="paragraph" w:styleId="TOC4">
    <w:name w:val="toc 4"/>
    <w:basedOn w:val="Normal"/>
    <w:next w:val="Normal"/>
    <w:autoRedefine/>
    <w:uiPriority w:val="39"/>
    <w:unhideWhenUsed/>
    <w:rsid w:val="00C2173F"/>
    <w:pPr>
      <w:spacing w:after="100" w:line="259" w:lineRule="auto"/>
      <w:ind w:left="660"/>
    </w:pPr>
    <w:rPr>
      <w:rFonts w:asciiTheme="minorHAnsi" w:eastAsiaTheme="minorEastAsia" w:hAnsiTheme="minorHAnsi" w:cstheme="minorBidi"/>
      <w:kern w:val="0"/>
      <w:sz w:val="22"/>
      <w:szCs w:val="22"/>
      <w:lang w:eastAsia="ja-JP"/>
    </w:rPr>
  </w:style>
  <w:style w:type="paragraph" w:styleId="TOC5">
    <w:name w:val="toc 5"/>
    <w:basedOn w:val="Normal"/>
    <w:next w:val="Normal"/>
    <w:autoRedefine/>
    <w:uiPriority w:val="39"/>
    <w:unhideWhenUsed/>
    <w:rsid w:val="00C2173F"/>
    <w:pPr>
      <w:spacing w:after="100" w:line="259" w:lineRule="auto"/>
      <w:ind w:left="880"/>
    </w:pPr>
    <w:rPr>
      <w:rFonts w:asciiTheme="minorHAnsi" w:eastAsiaTheme="minorEastAsia" w:hAnsiTheme="minorHAnsi" w:cstheme="minorBidi"/>
      <w:kern w:val="0"/>
      <w:sz w:val="22"/>
      <w:szCs w:val="22"/>
      <w:lang w:eastAsia="ja-JP"/>
    </w:rPr>
  </w:style>
  <w:style w:type="paragraph" w:styleId="TOC6">
    <w:name w:val="toc 6"/>
    <w:basedOn w:val="Normal"/>
    <w:next w:val="Normal"/>
    <w:autoRedefine/>
    <w:uiPriority w:val="39"/>
    <w:unhideWhenUsed/>
    <w:rsid w:val="00C2173F"/>
    <w:pPr>
      <w:spacing w:after="100" w:line="259" w:lineRule="auto"/>
      <w:ind w:left="1100"/>
    </w:pPr>
    <w:rPr>
      <w:rFonts w:asciiTheme="minorHAnsi" w:eastAsiaTheme="minorEastAsia" w:hAnsiTheme="minorHAnsi" w:cstheme="minorBidi"/>
      <w:kern w:val="0"/>
      <w:sz w:val="22"/>
      <w:szCs w:val="22"/>
      <w:lang w:eastAsia="ja-JP"/>
    </w:rPr>
  </w:style>
  <w:style w:type="paragraph" w:styleId="TOC7">
    <w:name w:val="toc 7"/>
    <w:basedOn w:val="Normal"/>
    <w:next w:val="Normal"/>
    <w:autoRedefine/>
    <w:uiPriority w:val="39"/>
    <w:unhideWhenUsed/>
    <w:rsid w:val="00C2173F"/>
    <w:pPr>
      <w:spacing w:after="100" w:line="259" w:lineRule="auto"/>
      <w:ind w:left="1320"/>
    </w:pPr>
    <w:rPr>
      <w:rFonts w:asciiTheme="minorHAnsi" w:eastAsiaTheme="minorEastAsia" w:hAnsiTheme="minorHAnsi" w:cstheme="minorBidi"/>
      <w:kern w:val="0"/>
      <w:sz w:val="22"/>
      <w:szCs w:val="22"/>
      <w:lang w:eastAsia="ja-JP"/>
    </w:rPr>
  </w:style>
  <w:style w:type="paragraph" w:styleId="TOC8">
    <w:name w:val="toc 8"/>
    <w:basedOn w:val="Normal"/>
    <w:next w:val="Normal"/>
    <w:autoRedefine/>
    <w:uiPriority w:val="39"/>
    <w:unhideWhenUsed/>
    <w:rsid w:val="00C2173F"/>
    <w:pPr>
      <w:spacing w:after="100" w:line="259" w:lineRule="auto"/>
      <w:ind w:left="1540"/>
    </w:pPr>
    <w:rPr>
      <w:rFonts w:asciiTheme="minorHAnsi" w:eastAsiaTheme="minorEastAsia" w:hAnsiTheme="minorHAnsi" w:cstheme="minorBidi"/>
      <w:kern w:val="0"/>
      <w:sz w:val="22"/>
      <w:szCs w:val="22"/>
      <w:lang w:eastAsia="ja-JP"/>
    </w:rPr>
  </w:style>
  <w:style w:type="paragraph" w:styleId="TOC9">
    <w:name w:val="toc 9"/>
    <w:basedOn w:val="Normal"/>
    <w:next w:val="Normal"/>
    <w:autoRedefine/>
    <w:uiPriority w:val="39"/>
    <w:unhideWhenUsed/>
    <w:rsid w:val="00C2173F"/>
    <w:pPr>
      <w:spacing w:after="100" w:line="259" w:lineRule="auto"/>
      <w:ind w:left="1760"/>
    </w:pPr>
    <w:rPr>
      <w:rFonts w:asciiTheme="minorHAnsi" w:eastAsiaTheme="minorEastAsia" w:hAnsiTheme="minorHAnsi" w:cstheme="minorBidi"/>
      <w:kern w:val="0"/>
      <w:sz w:val="22"/>
      <w:szCs w:val="22"/>
      <w:lang w:eastAsia="ja-JP"/>
    </w:rPr>
  </w:style>
  <w:style w:type="character" w:customStyle="1" w:styleId="ListParagraphChar">
    <w:name w:val="List Paragraph Char"/>
    <w:link w:val="ListParagraph"/>
    <w:uiPriority w:val="99"/>
    <w:rsid w:val="00CF3BCD"/>
    <w:rPr>
      <w:rFonts w:ascii="Arial" w:eastAsiaTheme="minorEastAsia" w:hAnsi="Arial" w:cs="Arial"/>
      <w:kern w:val="0"/>
      <w:sz w:val="24"/>
      <w:szCs w:val="24"/>
      <w:lang w:eastAsia="ja-JP"/>
    </w:rPr>
  </w:style>
  <w:style w:type="character" w:customStyle="1" w:styleId="normaltextrun">
    <w:name w:val="normaltextrun"/>
    <w:basedOn w:val="DefaultParagraphFont"/>
    <w:rsid w:val="00CF3BCD"/>
  </w:style>
  <w:style w:type="paragraph" w:customStyle="1" w:styleId="paragraph">
    <w:name w:val="paragraph"/>
    <w:basedOn w:val="Normal"/>
    <w:rsid w:val="007128BA"/>
    <w:pPr>
      <w:spacing w:before="100" w:beforeAutospacing="1" w:after="100" w:afterAutospacing="1"/>
    </w:pPr>
    <w:rPr>
      <w:kern w:val="0"/>
      <w:lang w:eastAsia="ja-JP"/>
    </w:rPr>
  </w:style>
  <w:style w:type="character" w:customStyle="1" w:styleId="eop">
    <w:name w:val="eop"/>
    <w:basedOn w:val="DefaultParagraphFont"/>
    <w:rsid w:val="007128BA"/>
  </w:style>
  <w:style w:type="table" w:customStyle="1" w:styleId="TableGrid1">
    <w:name w:val="Table Grid1"/>
    <w:basedOn w:val="TableNormal"/>
    <w:next w:val="TableGrid"/>
    <w:uiPriority w:val="39"/>
    <w:rsid w:val="001B3F05"/>
    <w:rPr>
      <w:rFonts w:asciiTheme="minorHAnsi" w:eastAsiaTheme="minorEastAsia" w:hAnsiTheme="minorHAnsi" w:cstheme="minorBidi"/>
      <w:kern w:val="2"/>
      <w:sz w:val="24"/>
      <w:szCs w:val="24"/>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E60"/>
    <w:pPr>
      <w:autoSpaceDE w:val="0"/>
      <w:autoSpaceDN w:val="0"/>
      <w:adjustRightInd w:val="0"/>
    </w:pPr>
    <w:rPr>
      <w:rFonts w:ascii="Calibri" w:hAnsi="Calibri" w:cs="Calibri"/>
      <w:color w:val="000000"/>
      <w:kern w:val="0"/>
      <w:sz w:val="24"/>
      <w:szCs w:val="24"/>
    </w:rPr>
  </w:style>
  <w:style w:type="character" w:customStyle="1" w:styleId="Heading3Char">
    <w:name w:val="Heading 3 Char"/>
    <w:basedOn w:val="DefaultParagraphFont"/>
    <w:link w:val="Heading3"/>
    <w:rsid w:val="00124E60"/>
    <w:rPr>
      <w:rFonts w:asciiTheme="majorHAnsi" w:eastAsiaTheme="majorEastAsia" w:hAnsiTheme="majorHAnsi" w:cstheme="majorBidi"/>
      <w:color w:val="243F60" w:themeColor="accent1" w:themeShade="7F"/>
      <w:sz w:val="24"/>
      <w:szCs w:val="24"/>
    </w:rPr>
  </w:style>
  <w:style w:type="paragraph" w:customStyle="1" w:styleId="Heading4">
    <w:name w:val="Heading_4"/>
    <w:basedOn w:val="Normal"/>
    <w:next w:val="BodyText"/>
    <w:rsid w:val="00124E60"/>
    <w:pPr>
      <w:keepNext/>
      <w:spacing w:after="240"/>
      <w:outlineLvl w:val="3"/>
    </w:pPr>
    <w:rPr>
      <w:rFonts w:ascii="Arial Bold" w:hAnsi="Arial Bold"/>
      <w:b/>
      <w:i/>
      <w:kern w:val="0"/>
      <w:sz w:val="20"/>
      <w:szCs w:val="20"/>
    </w:rPr>
  </w:style>
  <w:style w:type="character" w:customStyle="1" w:styleId="Prompt">
    <w:name w:val="Prompt"/>
    <w:basedOn w:val="DefaultParagraphFont"/>
    <w:rsid w:val="00EA76A3"/>
    <w:rPr>
      <w:rFonts w:ascii="Arial" w:eastAsia="Arial" w:hAnsi="Arial" w:cs="Arial"/>
      <w:color w:val="0000FF"/>
      <w:sz w:val="18"/>
    </w:rPr>
  </w:style>
  <w:style w:type="character" w:styleId="PlaceholderText">
    <w:name w:val="Placeholder Text"/>
    <w:basedOn w:val="DefaultParagraphFont"/>
    <w:uiPriority w:val="99"/>
    <w:semiHidden/>
    <w:rsid w:val="00E20D79"/>
    <w:rPr>
      <w:color w:val="666666"/>
    </w:rPr>
  </w:style>
  <w:style w:type="paragraph" w:customStyle="1" w:styleId="DocsID">
    <w:name w:val="DocsID"/>
    <w:basedOn w:val="Normal"/>
    <w:link w:val="DocsIDChar"/>
    <w:rsid w:val="00E20D79"/>
    <w:rPr>
      <w:rFonts w:eastAsia="Arial"/>
      <w:color w:val="000000"/>
      <w:sz w:val="12"/>
    </w:rPr>
  </w:style>
  <w:style w:type="character" w:customStyle="1" w:styleId="DocsIDChar">
    <w:name w:val="DocsID Char"/>
    <w:basedOn w:val="DefaultParagraphFont"/>
    <w:link w:val="DocsID"/>
    <w:rsid w:val="00E20D79"/>
    <w:rPr>
      <w:rFonts w:eastAsia="Arial"/>
      <w:color w:val="000000"/>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7440">
      <w:bodyDiv w:val="1"/>
      <w:marLeft w:val="0"/>
      <w:marRight w:val="0"/>
      <w:marTop w:val="0"/>
      <w:marBottom w:val="0"/>
      <w:divBdr>
        <w:top w:val="none" w:sz="0" w:space="0" w:color="auto"/>
        <w:left w:val="none" w:sz="0" w:space="0" w:color="auto"/>
        <w:bottom w:val="none" w:sz="0" w:space="0" w:color="auto"/>
        <w:right w:val="none" w:sz="0" w:space="0" w:color="auto"/>
      </w:divBdr>
    </w:div>
    <w:div w:id="121853805">
      <w:bodyDiv w:val="1"/>
      <w:marLeft w:val="0"/>
      <w:marRight w:val="0"/>
      <w:marTop w:val="0"/>
      <w:marBottom w:val="0"/>
      <w:divBdr>
        <w:top w:val="none" w:sz="0" w:space="0" w:color="auto"/>
        <w:left w:val="none" w:sz="0" w:space="0" w:color="auto"/>
        <w:bottom w:val="none" w:sz="0" w:space="0" w:color="auto"/>
        <w:right w:val="none" w:sz="0" w:space="0" w:color="auto"/>
      </w:divBdr>
    </w:div>
    <w:div w:id="152841221">
      <w:bodyDiv w:val="1"/>
      <w:marLeft w:val="0"/>
      <w:marRight w:val="0"/>
      <w:marTop w:val="0"/>
      <w:marBottom w:val="0"/>
      <w:divBdr>
        <w:top w:val="none" w:sz="0" w:space="0" w:color="auto"/>
        <w:left w:val="none" w:sz="0" w:space="0" w:color="auto"/>
        <w:bottom w:val="none" w:sz="0" w:space="0" w:color="auto"/>
        <w:right w:val="none" w:sz="0" w:space="0" w:color="auto"/>
      </w:divBdr>
    </w:div>
    <w:div w:id="310715096">
      <w:bodyDiv w:val="1"/>
      <w:marLeft w:val="0"/>
      <w:marRight w:val="0"/>
      <w:marTop w:val="0"/>
      <w:marBottom w:val="0"/>
      <w:divBdr>
        <w:top w:val="none" w:sz="0" w:space="0" w:color="auto"/>
        <w:left w:val="none" w:sz="0" w:space="0" w:color="auto"/>
        <w:bottom w:val="none" w:sz="0" w:space="0" w:color="auto"/>
        <w:right w:val="none" w:sz="0" w:space="0" w:color="auto"/>
      </w:divBdr>
    </w:div>
    <w:div w:id="334458095">
      <w:bodyDiv w:val="1"/>
      <w:marLeft w:val="0"/>
      <w:marRight w:val="0"/>
      <w:marTop w:val="0"/>
      <w:marBottom w:val="0"/>
      <w:divBdr>
        <w:top w:val="none" w:sz="0" w:space="0" w:color="auto"/>
        <w:left w:val="none" w:sz="0" w:space="0" w:color="auto"/>
        <w:bottom w:val="none" w:sz="0" w:space="0" w:color="auto"/>
        <w:right w:val="none" w:sz="0" w:space="0" w:color="auto"/>
      </w:divBdr>
    </w:div>
    <w:div w:id="364797819">
      <w:bodyDiv w:val="1"/>
      <w:marLeft w:val="0"/>
      <w:marRight w:val="0"/>
      <w:marTop w:val="0"/>
      <w:marBottom w:val="0"/>
      <w:divBdr>
        <w:top w:val="none" w:sz="0" w:space="0" w:color="auto"/>
        <w:left w:val="none" w:sz="0" w:space="0" w:color="auto"/>
        <w:bottom w:val="none" w:sz="0" w:space="0" w:color="auto"/>
        <w:right w:val="none" w:sz="0" w:space="0" w:color="auto"/>
      </w:divBdr>
    </w:div>
    <w:div w:id="391660041">
      <w:bodyDiv w:val="1"/>
      <w:marLeft w:val="0"/>
      <w:marRight w:val="0"/>
      <w:marTop w:val="0"/>
      <w:marBottom w:val="0"/>
      <w:divBdr>
        <w:top w:val="none" w:sz="0" w:space="0" w:color="auto"/>
        <w:left w:val="none" w:sz="0" w:space="0" w:color="auto"/>
        <w:bottom w:val="none" w:sz="0" w:space="0" w:color="auto"/>
        <w:right w:val="none" w:sz="0" w:space="0" w:color="auto"/>
      </w:divBdr>
    </w:div>
    <w:div w:id="396443459">
      <w:bodyDiv w:val="1"/>
      <w:marLeft w:val="0"/>
      <w:marRight w:val="0"/>
      <w:marTop w:val="0"/>
      <w:marBottom w:val="0"/>
      <w:divBdr>
        <w:top w:val="none" w:sz="0" w:space="0" w:color="auto"/>
        <w:left w:val="none" w:sz="0" w:space="0" w:color="auto"/>
        <w:bottom w:val="none" w:sz="0" w:space="0" w:color="auto"/>
        <w:right w:val="none" w:sz="0" w:space="0" w:color="auto"/>
      </w:divBdr>
    </w:div>
    <w:div w:id="452990480">
      <w:bodyDiv w:val="1"/>
      <w:marLeft w:val="0"/>
      <w:marRight w:val="0"/>
      <w:marTop w:val="0"/>
      <w:marBottom w:val="0"/>
      <w:divBdr>
        <w:top w:val="none" w:sz="0" w:space="0" w:color="auto"/>
        <w:left w:val="none" w:sz="0" w:space="0" w:color="auto"/>
        <w:bottom w:val="none" w:sz="0" w:space="0" w:color="auto"/>
        <w:right w:val="none" w:sz="0" w:space="0" w:color="auto"/>
      </w:divBdr>
    </w:div>
    <w:div w:id="538249490">
      <w:bodyDiv w:val="1"/>
      <w:marLeft w:val="0"/>
      <w:marRight w:val="0"/>
      <w:marTop w:val="0"/>
      <w:marBottom w:val="0"/>
      <w:divBdr>
        <w:top w:val="none" w:sz="0" w:space="0" w:color="auto"/>
        <w:left w:val="none" w:sz="0" w:space="0" w:color="auto"/>
        <w:bottom w:val="none" w:sz="0" w:space="0" w:color="auto"/>
        <w:right w:val="none" w:sz="0" w:space="0" w:color="auto"/>
      </w:divBdr>
    </w:div>
    <w:div w:id="601382312">
      <w:bodyDiv w:val="1"/>
      <w:marLeft w:val="0"/>
      <w:marRight w:val="0"/>
      <w:marTop w:val="0"/>
      <w:marBottom w:val="0"/>
      <w:divBdr>
        <w:top w:val="none" w:sz="0" w:space="0" w:color="auto"/>
        <w:left w:val="none" w:sz="0" w:space="0" w:color="auto"/>
        <w:bottom w:val="none" w:sz="0" w:space="0" w:color="auto"/>
        <w:right w:val="none" w:sz="0" w:space="0" w:color="auto"/>
      </w:divBdr>
    </w:div>
    <w:div w:id="623393406">
      <w:bodyDiv w:val="1"/>
      <w:marLeft w:val="0"/>
      <w:marRight w:val="0"/>
      <w:marTop w:val="0"/>
      <w:marBottom w:val="0"/>
      <w:divBdr>
        <w:top w:val="none" w:sz="0" w:space="0" w:color="auto"/>
        <w:left w:val="none" w:sz="0" w:space="0" w:color="auto"/>
        <w:bottom w:val="none" w:sz="0" w:space="0" w:color="auto"/>
        <w:right w:val="none" w:sz="0" w:space="0" w:color="auto"/>
      </w:divBdr>
    </w:div>
    <w:div w:id="639579030">
      <w:bodyDiv w:val="1"/>
      <w:marLeft w:val="0"/>
      <w:marRight w:val="0"/>
      <w:marTop w:val="0"/>
      <w:marBottom w:val="0"/>
      <w:divBdr>
        <w:top w:val="none" w:sz="0" w:space="0" w:color="auto"/>
        <w:left w:val="none" w:sz="0" w:space="0" w:color="auto"/>
        <w:bottom w:val="none" w:sz="0" w:space="0" w:color="auto"/>
        <w:right w:val="none" w:sz="0" w:space="0" w:color="auto"/>
      </w:divBdr>
    </w:div>
    <w:div w:id="642853473">
      <w:bodyDiv w:val="1"/>
      <w:marLeft w:val="0"/>
      <w:marRight w:val="0"/>
      <w:marTop w:val="0"/>
      <w:marBottom w:val="0"/>
      <w:divBdr>
        <w:top w:val="none" w:sz="0" w:space="0" w:color="auto"/>
        <w:left w:val="none" w:sz="0" w:space="0" w:color="auto"/>
        <w:bottom w:val="none" w:sz="0" w:space="0" w:color="auto"/>
        <w:right w:val="none" w:sz="0" w:space="0" w:color="auto"/>
      </w:divBdr>
    </w:div>
    <w:div w:id="649099512">
      <w:bodyDiv w:val="1"/>
      <w:marLeft w:val="0"/>
      <w:marRight w:val="0"/>
      <w:marTop w:val="0"/>
      <w:marBottom w:val="0"/>
      <w:divBdr>
        <w:top w:val="none" w:sz="0" w:space="0" w:color="auto"/>
        <w:left w:val="none" w:sz="0" w:space="0" w:color="auto"/>
        <w:bottom w:val="none" w:sz="0" w:space="0" w:color="auto"/>
        <w:right w:val="none" w:sz="0" w:space="0" w:color="auto"/>
      </w:divBdr>
    </w:div>
    <w:div w:id="682317780">
      <w:bodyDiv w:val="1"/>
      <w:marLeft w:val="0"/>
      <w:marRight w:val="0"/>
      <w:marTop w:val="0"/>
      <w:marBottom w:val="0"/>
      <w:divBdr>
        <w:top w:val="none" w:sz="0" w:space="0" w:color="auto"/>
        <w:left w:val="none" w:sz="0" w:space="0" w:color="auto"/>
        <w:bottom w:val="none" w:sz="0" w:space="0" w:color="auto"/>
        <w:right w:val="none" w:sz="0" w:space="0" w:color="auto"/>
      </w:divBdr>
    </w:div>
    <w:div w:id="771826615">
      <w:bodyDiv w:val="1"/>
      <w:marLeft w:val="0"/>
      <w:marRight w:val="0"/>
      <w:marTop w:val="0"/>
      <w:marBottom w:val="0"/>
      <w:divBdr>
        <w:top w:val="none" w:sz="0" w:space="0" w:color="auto"/>
        <w:left w:val="none" w:sz="0" w:space="0" w:color="auto"/>
        <w:bottom w:val="none" w:sz="0" w:space="0" w:color="auto"/>
        <w:right w:val="none" w:sz="0" w:space="0" w:color="auto"/>
      </w:divBdr>
    </w:div>
    <w:div w:id="836313645">
      <w:bodyDiv w:val="1"/>
      <w:marLeft w:val="0"/>
      <w:marRight w:val="0"/>
      <w:marTop w:val="0"/>
      <w:marBottom w:val="0"/>
      <w:divBdr>
        <w:top w:val="none" w:sz="0" w:space="0" w:color="auto"/>
        <w:left w:val="none" w:sz="0" w:space="0" w:color="auto"/>
        <w:bottom w:val="none" w:sz="0" w:space="0" w:color="auto"/>
        <w:right w:val="none" w:sz="0" w:space="0" w:color="auto"/>
      </w:divBdr>
    </w:div>
    <w:div w:id="851069938">
      <w:bodyDiv w:val="1"/>
      <w:marLeft w:val="0"/>
      <w:marRight w:val="0"/>
      <w:marTop w:val="0"/>
      <w:marBottom w:val="0"/>
      <w:divBdr>
        <w:top w:val="none" w:sz="0" w:space="0" w:color="auto"/>
        <w:left w:val="none" w:sz="0" w:space="0" w:color="auto"/>
        <w:bottom w:val="none" w:sz="0" w:space="0" w:color="auto"/>
        <w:right w:val="none" w:sz="0" w:space="0" w:color="auto"/>
      </w:divBdr>
    </w:div>
    <w:div w:id="868027945">
      <w:bodyDiv w:val="1"/>
      <w:marLeft w:val="0"/>
      <w:marRight w:val="0"/>
      <w:marTop w:val="0"/>
      <w:marBottom w:val="0"/>
      <w:divBdr>
        <w:top w:val="none" w:sz="0" w:space="0" w:color="auto"/>
        <w:left w:val="none" w:sz="0" w:space="0" w:color="auto"/>
        <w:bottom w:val="none" w:sz="0" w:space="0" w:color="auto"/>
        <w:right w:val="none" w:sz="0" w:space="0" w:color="auto"/>
      </w:divBdr>
    </w:div>
    <w:div w:id="892885267">
      <w:bodyDiv w:val="1"/>
      <w:marLeft w:val="0"/>
      <w:marRight w:val="0"/>
      <w:marTop w:val="0"/>
      <w:marBottom w:val="0"/>
      <w:divBdr>
        <w:top w:val="none" w:sz="0" w:space="0" w:color="auto"/>
        <w:left w:val="none" w:sz="0" w:space="0" w:color="auto"/>
        <w:bottom w:val="none" w:sz="0" w:space="0" w:color="auto"/>
        <w:right w:val="none" w:sz="0" w:space="0" w:color="auto"/>
      </w:divBdr>
    </w:div>
    <w:div w:id="922102274">
      <w:bodyDiv w:val="1"/>
      <w:marLeft w:val="0"/>
      <w:marRight w:val="0"/>
      <w:marTop w:val="0"/>
      <w:marBottom w:val="0"/>
      <w:divBdr>
        <w:top w:val="none" w:sz="0" w:space="0" w:color="auto"/>
        <w:left w:val="none" w:sz="0" w:space="0" w:color="auto"/>
        <w:bottom w:val="none" w:sz="0" w:space="0" w:color="auto"/>
        <w:right w:val="none" w:sz="0" w:space="0" w:color="auto"/>
      </w:divBdr>
    </w:div>
    <w:div w:id="930621739">
      <w:bodyDiv w:val="1"/>
      <w:marLeft w:val="0"/>
      <w:marRight w:val="0"/>
      <w:marTop w:val="0"/>
      <w:marBottom w:val="0"/>
      <w:divBdr>
        <w:top w:val="none" w:sz="0" w:space="0" w:color="auto"/>
        <w:left w:val="none" w:sz="0" w:space="0" w:color="auto"/>
        <w:bottom w:val="none" w:sz="0" w:space="0" w:color="auto"/>
        <w:right w:val="none" w:sz="0" w:space="0" w:color="auto"/>
      </w:divBdr>
    </w:div>
    <w:div w:id="995182404">
      <w:bodyDiv w:val="1"/>
      <w:marLeft w:val="0"/>
      <w:marRight w:val="0"/>
      <w:marTop w:val="0"/>
      <w:marBottom w:val="0"/>
      <w:divBdr>
        <w:top w:val="none" w:sz="0" w:space="0" w:color="auto"/>
        <w:left w:val="none" w:sz="0" w:space="0" w:color="auto"/>
        <w:bottom w:val="none" w:sz="0" w:space="0" w:color="auto"/>
        <w:right w:val="none" w:sz="0" w:space="0" w:color="auto"/>
      </w:divBdr>
    </w:div>
    <w:div w:id="1123885441">
      <w:bodyDiv w:val="1"/>
      <w:marLeft w:val="0"/>
      <w:marRight w:val="0"/>
      <w:marTop w:val="0"/>
      <w:marBottom w:val="0"/>
      <w:divBdr>
        <w:top w:val="none" w:sz="0" w:space="0" w:color="auto"/>
        <w:left w:val="none" w:sz="0" w:space="0" w:color="auto"/>
        <w:bottom w:val="none" w:sz="0" w:space="0" w:color="auto"/>
        <w:right w:val="none" w:sz="0" w:space="0" w:color="auto"/>
      </w:divBdr>
    </w:div>
    <w:div w:id="1129786613">
      <w:bodyDiv w:val="1"/>
      <w:marLeft w:val="0"/>
      <w:marRight w:val="0"/>
      <w:marTop w:val="0"/>
      <w:marBottom w:val="0"/>
      <w:divBdr>
        <w:top w:val="none" w:sz="0" w:space="0" w:color="auto"/>
        <w:left w:val="none" w:sz="0" w:space="0" w:color="auto"/>
        <w:bottom w:val="none" w:sz="0" w:space="0" w:color="auto"/>
        <w:right w:val="none" w:sz="0" w:space="0" w:color="auto"/>
      </w:divBdr>
    </w:div>
    <w:div w:id="1192263170">
      <w:bodyDiv w:val="1"/>
      <w:marLeft w:val="0"/>
      <w:marRight w:val="0"/>
      <w:marTop w:val="0"/>
      <w:marBottom w:val="0"/>
      <w:divBdr>
        <w:top w:val="none" w:sz="0" w:space="0" w:color="auto"/>
        <w:left w:val="none" w:sz="0" w:space="0" w:color="auto"/>
        <w:bottom w:val="none" w:sz="0" w:space="0" w:color="auto"/>
        <w:right w:val="none" w:sz="0" w:space="0" w:color="auto"/>
      </w:divBdr>
    </w:div>
    <w:div w:id="1246498013">
      <w:bodyDiv w:val="1"/>
      <w:marLeft w:val="0"/>
      <w:marRight w:val="0"/>
      <w:marTop w:val="0"/>
      <w:marBottom w:val="0"/>
      <w:divBdr>
        <w:top w:val="none" w:sz="0" w:space="0" w:color="auto"/>
        <w:left w:val="none" w:sz="0" w:space="0" w:color="auto"/>
        <w:bottom w:val="none" w:sz="0" w:space="0" w:color="auto"/>
        <w:right w:val="none" w:sz="0" w:space="0" w:color="auto"/>
      </w:divBdr>
    </w:div>
    <w:div w:id="1305283006">
      <w:bodyDiv w:val="1"/>
      <w:marLeft w:val="0"/>
      <w:marRight w:val="0"/>
      <w:marTop w:val="0"/>
      <w:marBottom w:val="0"/>
      <w:divBdr>
        <w:top w:val="none" w:sz="0" w:space="0" w:color="auto"/>
        <w:left w:val="none" w:sz="0" w:space="0" w:color="auto"/>
        <w:bottom w:val="none" w:sz="0" w:space="0" w:color="auto"/>
        <w:right w:val="none" w:sz="0" w:space="0" w:color="auto"/>
      </w:divBdr>
    </w:div>
    <w:div w:id="1318924325">
      <w:bodyDiv w:val="1"/>
      <w:marLeft w:val="0"/>
      <w:marRight w:val="0"/>
      <w:marTop w:val="0"/>
      <w:marBottom w:val="0"/>
      <w:divBdr>
        <w:top w:val="none" w:sz="0" w:space="0" w:color="auto"/>
        <w:left w:val="none" w:sz="0" w:space="0" w:color="auto"/>
        <w:bottom w:val="none" w:sz="0" w:space="0" w:color="auto"/>
        <w:right w:val="none" w:sz="0" w:space="0" w:color="auto"/>
      </w:divBdr>
    </w:div>
    <w:div w:id="1340738521">
      <w:bodyDiv w:val="1"/>
      <w:marLeft w:val="0"/>
      <w:marRight w:val="0"/>
      <w:marTop w:val="0"/>
      <w:marBottom w:val="0"/>
      <w:divBdr>
        <w:top w:val="none" w:sz="0" w:space="0" w:color="auto"/>
        <w:left w:val="none" w:sz="0" w:space="0" w:color="auto"/>
        <w:bottom w:val="none" w:sz="0" w:space="0" w:color="auto"/>
        <w:right w:val="none" w:sz="0" w:space="0" w:color="auto"/>
      </w:divBdr>
    </w:div>
    <w:div w:id="1345015672">
      <w:bodyDiv w:val="1"/>
      <w:marLeft w:val="0"/>
      <w:marRight w:val="0"/>
      <w:marTop w:val="0"/>
      <w:marBottom w:val="0"/>
      <w:divBdr>
        <w:top w:val="none" w:sz="0" w:space="0" w:color="auto"/>
        <w:left w:val="none" w:sz="0" w:space="0" w:color="auto"/>
        <w:bottom w:val="none" w:sz="0" w:space="0" w:color="auto"/>
        <w:right w:val="none" w:sz="0" w:space="0" w:color="auto"/>
      </w:divBdr>
    </w:div>
    <w:div w:id="1368290607">
      <w:bodyDiv w:val="1"/>
      <w:marLeft w:val="0"/>
      <w:marRight w:val="0"/>
      <w:marTop w:val="0"/>
      <w:marBottom w:val="0"/>
      <w:divBdr>
        <w:top w:val="none" w:sz="0" w:space="0" w:color="auto"/>
        <w:left w:val="none" w:sz="0" w:space="0" w:color="auto"/>
        <w:bottom w:val="none" w:sz="0" w:space="0" w:color="auto"/>
        <w:right w:val="none" w:sz="0" w:space="0" w:color="auto"/>
      </w:divBdr>
    </w:div>
    <w:div w:id="1438452475">
      <w:bodyDiv w:val="1"/>
      <w:marLeft w:val="0"/>
      <w:marRight w:val="0"/>
      <w:marTop w:val="0"/>
      <w:marBottom w:val="0"/>
      <w:divBdr>
        <w:top w:val="none" w:sz="0" w:space="0" w:color="auto"/>
        <w:left w:val="none" w:sz="0" w:space="0" w:color="auto"/>
        <w:bottom w:val="none" w:sz="0" w:space="0" w:color="auto"/>
        <w:right w:val="none" w:sz="0" w:space="0" w:color="auto"/>
      </w:divBdr>
    </w:div>
    <w:div w:id="1444839027">
      <w:bodyDiv w:val="1"/>
      <w:marLeft w:val="0"/>
      <w:marRight w:val="0"/>
      <w:marTop w:val="0"/>
      <w:marBottom w:val="0"/>
      <w:divBdr>
        <w:top w:val="none" w:sz="0" w:space="0" w:color="auto"/>
        <w:left w:val="none" w:sz="0" w:space="0" w:color="auto"/>
        <w:bottom w:val="none" w:sz="0" w:space="0" w:color="auto"/>
        <w:right w:val="none" w:sz="0" w:space="0" w:color="auto"/>
      </w:divBdr>
    </w:div>
    <w:div w:id="1529489896">
      <w:bodyDiv w:val="1"/>
      <w:marLeft w:val="0"/>
      <w:marRight w:val="0"/>
      <w:marTop w:val="0"/>
      <w:marBottom w:val="0"/>
      <w:divBdr>
        <w:top w:val="none" w:sz="0" w:space="0" w:color="auto"/>
        <w:left w:val="none" w:sz="0" w:space="0" w:color="auto"/>
        <w:bottom w:val="none" w:sz="0" w:space="0" w:color="auto"/>
        <w:right w:val="none" w:sz="0" w:space="0" w:color="auto"/>
      </w:divBdr>
    </w:div>
    <w:div w:id="1529681603">
      <w:bodyDiv w:val="1"/>
      <w:marLeft w:val="0"/>
      <w:marRight w:val="0"/>
      <w:marTop w:val="0"/>
      <w:marBottom w:val="0"/>
      <w:divBdr>
        <w:top w:val="none" w:sz="0" w:space="0" w:color="auto"/>
        <w:left w:val="none" w:sz="0" w:space="0" w:color="auto"/>
        <w:bottom w:val="none" w:sz="0" w:space="0" w:color="auto"/>
        <w:right w:val="none" w:sz="0" w:space="0" w:color="auto"/>
      </w:divBdr>
    </w:div>
    <w:div w:id="1551988733">
      <w:bodyDiv w:val="1"/>
      <w:marLeft w:val="0"/>
      <w:marRight w:val="0"/>
      <w:marTop w:val="0"/>
      <w:marBottom w:val="0"/>
      <w:divBdr>
        <w:top w:val="none" w:sz="0" w:space="0" w:color="auto"/>
        <w:left w:val="none" w:sz="0" w:space="0" w:color="auto"/>
        <w:bottom w:val="none" w:sz="0" w:space="0" w:color="auto"/>
        <w:right w:val="none" w:sz="0" w:space="0" w:color="auto"/>
      </w:divBdr>
    </w:div>
    <w:div w:id="1552234308">
      <w:bodyDiv w:val="1"/>
      <w:marLeft w:val="0"/>
      <w:marRight w:val="0"/>
      <w:marTop w:val="0"/>
      <w:marBottom w:val="0"/>
      <w:divBdr>
        <w:top w:val="none" w:sz="0" w:space="0" w:color="auto"/>
        <w:left w:val="none" w:sz="0" w:space="0" w:color="auto"/>
        <w:bottom w:val="none" w:sz="0" w:space="0" w:color="auto"/>
        <w:right w:val="none" w:sz="0" w:space="0" w:color="auto"/>
      </w:divBdr>
    </w:div>
    <w:div w:id="1630671299">
      <w:bodyDiv w:val="1"/>
      <w:marLeft w:val="0"/>
      <w:marRight w:val="0"/>
      <w:marTop w:val="0"/>
      <w:marBottom w:val="0"/>
      <w:divBdr>
        <w:top w:val="none" w:sz="0" w:space="0" w:color="auto"/>
        <w:left w:val="none" w:sz="0" w:space="0" w:color="auto"/>
        <w:bottom w:val="none" w:sz="0" w:space="0" w:color="auto"/>
        <w:right w:val="none" w:sz="0" w:space="0" w:color="auto"/>
      </w:divBdr>
    </w:div>
    <w:div w:id="1701512569">
      <w:bodyDiv w:val="1"/>
      <w:marLeft w:val="0"/>
      <w:marRight w:val="0"/>
      <w:marTop w:val="0"/>
      <w:marBottom w:val="0"/>
      <w:divBdr>
        <w:top w:val="none" w:sz="0" w:space="0" w:color="auto"/>
        <w:left w:val="none" w:sz="0" w:space="0" w:color="auto"/>
        <w:bottom w:val="none" w:sz="0" w:space="0" w:color="auto"/>
        <w:right w:val="none" w:sz="0" w:space="0" w:color="auto"/>
      </w:divBdr>
    </w:div>
    <w:div w:id="1747989487">
      <w:bodyDiv w:val="1"/>
      <w:marLeft w:val="0"/>
      <w:marRight w:val="0"/>
      <w:marTop w:val="0"/>
      <w:marBottom w:val="0"/>
      <w:divBdr>
        <w:top w:val="none" w:sz="0" w:space="0" w:color="auto"/>
        <w:left w:val="none" w:sz="0" w:space="0" w:color="auto"/>
        <w:bottom w:val="none" w:sz="0" w:space="0" w:color="auto"/>
        <w:right w:val="none" w:sz="0" w:space="0" w:color="auto"/>
      </w:divBdr>
    </w:div>
    <w:div w:id="1767270011">
      <w:bodyDiv w:val="1"/>
      <w:marLeft w:val="0"/>
      <w:marRight w:val="0"/>
      <w:marTop w:val="0"/>
      <w:marBottom w:val="0"/>
      <w:divBdr>
        <w:top w:val="none" w:sz="0" w:space="0" w:color="auto"/>
        <w:left w:val="none" w:sz="0" w:space="0" w:color="auto"/>
        <w:bottom w:val="none" w:sz="0" w:space="0" w:color="auto"/>
        <w:right w:val="none" w:sz="0" w:space="0" w:color="auto"/>
      </w:divBdr>
    </w:div>
    <w:div w:id="1777290837">
      <w:bodyDiv w:val="1"/>
      <w:marLeft w:val="0"/>
      <w:marRight w:val="0"/>
      <w:marTop w:val="0"/>
      <w:marBottom w:val="0"/>
      <w:divBdr>
        <w:top w:val="none" w:sz="0" w:space="0" w:color="auto"/>
        <w:left w:val="none" w:sz="0" w:space="0" w:color="auto"/>
        <w:bottom w:val="none" w:sz="0" w:space="0" w:color="auto"/>
        <w:right w:val="none" w:sz="0" w:space="0" w:color="auto"/>
      </w:divBdr>
    </w:div>
    <w:div w:id="1883714550">
      <w:bodyDiv w:val="1"/>
      <w:marLeft w:val="0"/>
      <w:marRight w:val="0"/>
      <w:marTop w:val="0"/>
      <w:marBottom w:val="0"/>
      <w:divBdr>
        <w:top w:val="none" w:sz="0" w:space="0" w:color="auto"/>
        <w:left w:val="none" w:sz="0" w:space="0" w:color="auto"/>
        <w:bottom w:val="none" w:sz="0" w:space="0" w:color="auto"/>
        <w:right w:val="none" w:sz="0" w:space="0" w:color="auto"/>
      </w:divBdr>
    </w:div>
    <w:div w:id="1980839320">
      <w:bodyDiv w:val="1"/>
      <w:marLeft w:val="0"/>
      <w:marRight w:val="0"/>
      <w:marTop w:val="0"/>
      <w:marBottom w:val="0"/>
      <w:divBdr>
        <w:top w:val="none" w:sz="0" w:space="0" w:color="auto"/>
        <w:left w:val="none" w:sz="0" w:space="0" w:color="auto"/>
        <w:bottom w:val="none" w:sz="0" w:space="0" w:color="auto"/>
        <w:right w:val="none" w:sz="0" w:space="0" w:color="auto"/>
      </w:divBdr>
    </w:div>
    <w:div w:id="1991596521">
      <w:bodyDiv w:val="1"/>
      <w:marLeft w:val="0"/>
      <w:marRight w:val="0"/>
      <w:marTop w:val="0"/>
      <w:marBottom w:val="0"/>
      <w:divBdr>
        <w:top w:val="none" w:sz="0" w:space="0" w:color="auto"/>
        <w:left w:val="none" w:sz="0" w:space="0" w:color="auto"/>
        <w:bottom w:val="none" w:sz="0" w:space="0" w:color="auto"/>
        <w:right w:val="none" w:sz="0" w:space="0" w:color="auto"/>
      </w:divBdr>
    </w:div>
    <w:div w:id="2000884662">
      <w:bodyDiv w:val="1"/>
      <w:marLeft w:val="0"/>
      <w:marRight w:val="0"/>
      <w:marTop w:val="0"/>
      <w:marBottom w:val="0"/>
      <w:divBdr>
        <w:top w:val="none" w:sz="0" w:space="0" w:color="auto"/>
        <w:left w:val="none" w:sz="0" w:space="0" w:color="auto"/>
        <w:bottom w:val="none" w:sz="0" w:space="0" w:color="auto"/>
        <w:right w:val="none" w:sz="0" w:space="0" w:color="auto"/>
      </w:divBdr>
    </w:div>
    <w:div w:id="2007511577">
      <w:bodyDiv w:val="1"/>
      <w:marLeft w:val="0"/>
      <w:marRight w:val="0"/>
      <w:marTop w:val="0"/>
      <w:marBottom w:val="0"/>
      <w:divBdr>
        <w:top w:val="none" w:sz="0" w:space="0" w:color="auto"/>
        <w:left w:val="none" w:sz="0" w:space="0" w:color="auto"/>
        <w:bottom w:val="none" w:sz="0" w:space="0" w:color="auto"/>
        <w:right w:val="none" w:sz="0" w:space="0" w:color="auto"/>
      </w:divBdr>
    </w:div>
    <w:div w:id="2019387767">
      <w:bodyDiv w:val="1"/>
      <w:marLeft w:val="0"/>
      <w:marRight w:val="0"/>
      <w:marTop w:val="0"/>
      <w:marBottom w:val="0"/>
      <w:divBdr>
        <w:top w:val="none" w:sz="0" w:space="0" w:color="auto"/>
        <w:left w:val="none" w:sz="0" w:space="0" w:color="auto"/>
        <w:bottom w:val="none" w:sz="0" w:space="0" w:color="auto"/>
        <w:right w:val="none" w:sz="0" w:space="0" w:color="auto"/>
      </w:divBdr>
    </w:div>
    <w:div w:id="2106608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edarplus.ca" TargetMode="External"/><Relationship Id="rId26" Type="http://schemas.openxmlformats.org/officeDocument/2006/relationships/hyperlink" Target="http://www.sedarplus.ca" TargetMode="External"/><Relationship Id="rId3" Type="http://schemas.openxmlformats.org/officeDocument/2006/relationships/numbering" Target="numbering.xml"/><Relationship Id="rId21" Type="http://schemas.openxmlformats.org/officeDocument/2006/relationships/hyperlink" Target="http://www.sedarplus.c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orpexfpcluster\Departmental%20Data\CaToCSec.MFS\Secretary\ANNUAL\AIF\2021%20AIF%20for%20FYE%202020\Drafts\www.mapleleaffoods.com" TargetMode="External"/><Relationship Id="rId25" Type="http://schemas.openxmlformats.org/officeDocument/2006/relationships/hyperlink" Target="http://www.sedarplus.c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darplus.ca" TargetMode="External"/><Relationship Id="rId20" Type="http://schemas.openxmlformats.org/officeDocument/2006/relationships/hyperlink" Target="http://www.sedarplus.ca"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edarplus.ca"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sedarplus.ca" TargetMode="External"/><Relationship Id="rId23" Type="http://schemas.openxmlformats.org/officeDocument/2006/relationships/hyperlink" Target="https://www.mapleleaffoods.com/fr/?noredirect=fr-FR%2F" TargetMode="External"/><Relationship Id="rId28" Type="http://schemas.openxmlformats.org/officeDocument/2006/relationships/hyperlink" Target="http://www.sedarplus.ca" TargetMode="External"/><Relationship Id="rId10" Type="http://schemas.openxmlformats.org/officeDocument/2006/relationships/header" Target="header1.xml"/><Relationship Id="rId19" Type="http://schemas.openxmlformats.org/officeDocument/2006/relationships/hyperlink" Target="http://www.sedarplus.ca"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sedarplus.ca" TargetMode="External"/><Relationship Id="rId27" Type="http://schemas.openxmlformats.org/officeDocument/2006/relationships/hyperlink" Target="http://www.sedarplus.ca" TargetMode="External"/><Relationship Id="rId30" Type="http://schemas.openxmlformats.org/officeDocument/2006/relationships/footer" Target="footer3.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90111F4-817E-41BF-9D30-C0A29324EC04}"/>
      </w:docPartPr>
      <w:docPartBody>
        <w:p w:rsidR="00AB7927" w:rsidRDefault="000A628A">
          <w:r w:rsidRPr="006379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ArialMT">
    <w:altName w:val="Klee One"/>
    <w:charset w:val="80"/>
    <w:family w:val="auto"/>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27"/>
    <w:rsid w:val="00004F67"/>
    <w:rsid w:val="00065736"/>
    <w:rsid w:val="00077C66"/>
    <w:rsid w:val="000A628A"/>
    <w:rsid w:val="000E4D37"/>
    <w:rsid w:val="00132D54"/>
    <w:rsid w:val="001749DC"/>
    <w:rsid w:val="002065B3"/>
    <w:rsid w:val="00216D07"/>
    <w:rsid w:val="00237946"/>
    <w:rsid w:val="002D2D62"/>
    <w:rsid w:val="002D3762"/>
    <w:rsid w:val="00357E79"/>
    <w:rsid w:val="0036616E"/>
    <w:rsid w:val="003C63BD"/>
    <w:rsid w:val="004069B8"/>
    <w:rsid w:val="0045593A"/>
    <w:rsid w:val="004610D0"/>
    <w:rsid w:val="004635C9"/>
    <w:rsid w:val="00546FD8"/>
    <w:rsid w:val="00547189"/>
    <w:rsid w:val="00590615"/>
    <w:rsid w:val="005B20F6"/>
    <w:rsid w:val="005E4A5B"/>
    <w:rsid w:val="0061332E"/>
    <w:rsid w:val="00636306"/>
    <w:rsid w:val="0063792E"/>
    <w:rsid w:val="0066297C"/>
    <w:rsid w:val="00694E9A"/>
    <w:rsid w:val="007450C1"/>
    <w:rsid w:val="007B3087"/>
    <w:rsid w:val="007E76CC"/>
    <w:rsid w:val="00845081"/>
    <w:rsid w:val="00866FB7"/>
    <w:rsid w:val="00892AB6"/>
    <w:rsid w:val="008A0BBD"/>
    <w:rsid w:val="00901B7E"/>
    <w:rsid w:val="00950C6C"/>
    <w:rsid w:val="00974DF8"/>
    <w:rsid w:val="009C03C3"/>
    <w:rsid w:val="00A03B72"/>
    <w:rsid w:val="00A05F1C"/>
    <w:rsid w:val="00A40DA7"/>
    <w:rsid w:val="00A53B87"/>
    <w:rsid w:val="00A61FD8"/>
    <w:rsid w:val="00A82323"/>
    <w:rsid w:val="00AB0123"/>
    <w:rsid w:val="00AB7927"/>
    <w:rsid w:val="00B154B0"/>
    <w:rsid w:val="00B51FF6"/>
    <w:rsid w:val="00BC3EA0"/>
    <w:rsid w:val="00BF58F7"/>
    <w:rsid w:val="00C46995"/>
    <w:rsid w:val="00CC5C14"/>
    <w:rsid w:val="00CC7891"/>
    <w:rsid w:val="00D65B93"/>
    <w:rsid w:val="00D72C8C"/>
    <w:rsid w:val="00DB150D"/>
    <w:rsid w:val="00DC6576"/>
    <w:rsid w:val="00E431ED"/>
    <w:rsid w:val="00E53F55"/>
    <w:rsid w:val="00E921E0"/>
    <w:rsid w:val="00F2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9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LEGAL_1!107375801.3</documentid>
  <senderid>JARMOUR</senderid>
  <senderemail>JARMOUR@OSLER.COM</senderemail>
  <lastmodified>2026-02-20T17:45:00.0000000-05:00</lastmodified>
  <database>LEGAL_1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78732-855C-4CED-8D21-178AE55BB9E5}">
  <ds:schemaRefs>
    <ds:schemaRef ds:uri="http://www.imanage.com/work/xmlschema"/>
  </ds:schemaRefs>
</ds:datastoreItem>
</file>

<file path=customXml/itemProps2.xml><?xml version="1.0" encoding="utf-8"?>
<ds:datastoreItem xmlns:ds="http://schemas.openxmlformats.org/officeDocument/2006/customXml" ds:itemID="{4F3ACAA7-C1B3-4C71-A569-CD6C73A2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25568</Words>
  <Characters>144125</Characters>
  <Application>Microsoft Office Word</Application>
  <DocSecurity>0</DocSecurity>
  <Lines>2287</Lines>
  <Paragraphs>1034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Akai, Gillian</dc:creator>
  <cp:lastModifiedBy>Hamilton, Corletta S</cp:lastModifiedBy>
  <cp:revision>4</cp:revision>
  <dcterms:created xsi:type="dcterms:W3CDTF">2026-04-13T20:37:00Z</dcterms:created>
  <dcterms:modified xsi:type="dcterms:W3CDTF">2026-04-21T13:03:00Z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False</vt:lpwstr>
  </property>
</Properties>
</file>